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s="仿宋"/>
          <w:b/>
          <w:bCs/>
          <w:sz w:val="28"/>
          <w:szCs w:val="28"/>
        </w:rPr>
      </w:pPr>
      <w:r>
        <w:rPr>
          <w:rFonts w:hint="eastAsia" w:ascii="黑体" w:hAnsi="黑体" w:eastAsia="黑体" w:cs="黑体"/>
          <w:b/>
          <w:bCs/>
          <w:sz w:val="36"/>
          <w:szCs w:val="36"/>
        </w:rPr>
        <w:t>辽宁对外经贸学院202</w:t>
      </w:r>
      <w:r>
        <w:rPr>
          <w:rFonts w:ascii="黑体" w:hAnsi="黑体" w:eastAsia="黑体" w:cs="黑体"/>
          <w:b/>
          <w:bCs/>
          <w:sz w:val="36"/>
          <w:szCs w:val="36"/>
        </w:rPr>
        <w:t>3</w:t>
      </w:r>
      <w:r>
        <w:rPr>
          <w:rFonts w:hint="eastAsia" w:ascii="黑体" w:hAnsi="黑体" w:eastAsia="黑体" w:cs="黑体"/>
          <w:b/>
          <w:bCs/>
          <w:sz w:val="36"/>
          <w:szCs w:val="36"/>
        </w:rPr>
        <w:t>年</w:t>
      </w:r>
      <w:r>
        <w:rPr>
          <w:rFonts w:hint="eastAsia" w:ascii="黑体" w:hAnsi="黑体" w:eastAsia="黑体" w:cs="黑体"/>
          <w:b/>
          <w:bCs/>
          <w:sz w:val="36"/>
          <w:szCs w:val="36"/>
          <w:lang w:val="en-US" w:eastAsia="zh-CN"/>
        </w:rPr>
        <w:t>微</w:t>
      </w:r>
      <w:r>
        <w:rPr>
          <w:rFonts w:hint="eastAsia" w:ascii="黑体" w:hAnsi="黑体" w:eastAsia="黑体" w:cs="黑体"/>
          <w:b/>
          <w:bCs/>
          <w:sz w:val="36"/>
          <w:szCs w:val="36"/>
        </w:rPr>
        <w:t>专业招生简章</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辽宁对外经贸学院是本科层次全日制民办普通高等学校，2005年经教育部批准设立</w:t>
      </w:r>
      <w:r>
        <w:rPr>
          <w:rFonts w:hint="eastAsia" w:ascii="仿宋" w:hAnsi="仿宋" w:eastAsia="仿宋" w:cs="仿宋"/>
          <w:sz w:val="28"/>
          <w:szCs w:val="28"/>
          <w:lang w:eastAsia="zh-CN"/>
        </w:rPr>
        <w:t>，</w:t>
      </w:r>
      <w:r>
        <w:rPr>
          <w:rFonts w:hint="eastAsia" w:ascii="仿宋" w:hAnsi="仿宋" w:eastAsia="仿宋" w:cs="仿宋"/>
          <w:sz w:val="28"/>
          <w:szCs w:val="28"/>
        </w:rPr>
        <w:t>隶属于辽宁省教育厅。</w:t>
      </w:r>
    </w:p>
    <w:p>
      <w:pPr>
        <w:spacing w:line="48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学校下设经济学院、外国语学院、会计学院、管理学院、艺术学院、通识学院6个二级学院，目前拥有4个学科门类</w:t>
      </w:r>
      <w:r>
        <w:rPr>
          <w:rFonts w:hint="eastAsia" w:ascii="仿宋" w:hAnsi="仿宋" w:eastAsia="仿宋" w:cs="仿宋"/>
          <w:sz w:val="28"/>
          <w:szCs w:val="28"/>
          <w:lang w:val="en-US" w:eastAsia="zh-CN"/>
        </w:rPr>
        <w:t>22个专业</w:t>
      </w:r>
      <w:r>
        <w:rPr>
          <w:rFonts w:hint="eastAsia" w:ascii="仿宋" w:hAnsi="仿宋" w:eastAsia="仿宋" w:cs="仿宋"/>
          <w:sz w:val="28"/>
          <w:szCs w:val="28"/>
        </w:rPr>
        <w:t>，</w:t>
      </w:r>
      <w:r>
        <w:rPr>
          <w:rFonts w:hint="eastAsia" w:ascii="仿宋" w:hAnsi="仿宋" w:eastAsia="仿宋" w:cs="仿宋"/>
          <w:sz w:val="28"/>
          <w:szCs w:val="28"/>
          <w:lang w:val="en-US" w:eastAsia="zh-CN"/>
        </w:rPr>
        <w:t>现</w:t>
      </w:r>
      <w:r>
        <w:rPr>
          <w:rFonts w:hint="eastAsia" w:ascii="仿宋" w:hAnsi="仿宋" w:eastAsia="仿宋" w:cs="仿宋"/>
          <w:sz w:val="28"/>
          <w:szCs w:val="28"/>
        </w:rPr>
        <w:t>有</w:t>
      </w:r>
      <w:r>
        <w:rPr>
          <w:rFonts w:hint="eastAsia" w:ascii="仿宋" w:hAnsi="仿宋" w:eastAsia="仿宋" w:cs="仿宋"/>
          <w:sz w:val="28"/>
          <w:szCs w:val="28"/>
          <w:lang w:val="en-US" w:eastAsia="zh-CN"/>
        </w:rPr>
        <w:t>8</w:t>
      </w:r>
      <w:r>
        <w:rPr>
          <w:rFonts w:hint="eastAsia" w:ascii="仿宋" w:hAnsi="仿宋" w:eastAsia="仿宋" w:cs="仿宋"/>
          <w:sz w:val="28"/>
          <w:szCs w:val="28"/>
        </w:rPr>
        <w:t>个</w:t>
      </w:r>
      <w:r>
        <w:rPr>
          <w:rFonts w:hint="eastAsia" w:ascii="仿宋" w:hAnsi="仿宋" w:eastAsia="仿宋" w:cs="仿宋"/>
          <w:sz w:val="28"/>
          <w:szCs w:val="28"/>
          <w:lang w:val="en-US" w:eastAsia="zh-CN"/>
        </w:rPr>
        <w:t>微</w:t>
      </w:r>
      <w:r>
        <w:rPr>
          <w:rFonts w:hint="eastAsia" w:ascii="仿宋" w:hAnsi="仿宋" w:eastAsia="仿宋" w:cs="仿宋"/>
          <w:sz w:val="28"/>
          <w:szCs w:val="28"/>
        </w:rPr>
        <w:t>专业面向</w:t>
      </w:r>
      <w:r>
        <w:rPr>
          <w:rFonts w:hint="eastAsia" w:ascii="仿宋" w:hAnsi="仿宋" w:eastAsia="仿宋" w:cs="仿宋"/>
          <w:sz w:val="28"/>
          <w:szCs w:val="28"/>
          <w:lang w:val="en-US" w:eastAsia="zh-CN"/>
        </w:rPr>
        <w:t>全体</w:t>
      </w:r>
      <w:r>
        <w:rPr>
          <w:rFonts w:hint="eastAsia" w:ascii="仿宋" w:hAnsi="仿宋" w:eastAsia="仿宋" w:cs="仿宋"/>
          <w:sz w:val="28"/>
          <w:szCs w:val="28"/>
        </w:rPr>
        <w:t>在校生招生。</w:t>
      </w:r>
    </w:p>
    <w:p>
      <w:pPr>
        <w:numPr>
          <w:ilvl w:val="0"/>
          <w:numId w:val="1"/>
        </w:numPr>
        <w:spacing w:line="48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招生计划与课程设置</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1578"/>
        <w:gridCol w:w="1071"/>
        <w:gridCol w:w="2990"/>
        <w:gridCol w:w="2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822" w:type="dxa"/>
            <w:vAlign w:val="center"/>
          </w:tcPr>
          <w:p>
            <w:pPr>
              <w:spacing w:line="48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序号</w:t>
            </w:r>
          </w:p>
        </w:tc>
        <w:tc>
          <w:tcPr>
            <w:tcW w:w="1578" w:type="dxa"/>
            <w:vAlign w:val="center"/>
          </w:tcPr>
          <w:p>
            <w:pPr>
              <w:spacing w:line="48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招生专业</w:t>
            </w:r>
          </w:p>
        </w:tc>
        <w:tc>
          <w:tcPr>
            <w:tcW w:w="1071" w:type="dxa"/>
            <w:vAlign w:val="center"/>
          </w:tcPr>
          <w:p>
            <w:pPr>
              <w:spacing w:line="480" w:lineRule="exact"/>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要求</w:t>
            </w:r>
          </w:p>
          <w:p>
            <w:pPr>
              <w:spacing w:line="48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修读学分</w:t>
            </w:r>
          </w:p>
        </w:tc>
        <w:tc>
          <w:tcPr>
            <w:tcW w:w="2990" w:type="dxa"/>
            <w:vAlign w:val="center"/>
          </w:tcPr>
          <w:p>
            <w:pPr>
              <w:spacing w:line="480" w:lineRule="exact"/>
              <w:jc w:val="center"/>
              <w:rPr>
                <w:rFonts w:hint="default"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微</w:t>
            </w:r>
            <w:r>
              <w:rPr>
                <w:rFonts w:hint="eastAsia" w:ascii="仿宋" w:hAnsi="仿宋" w:eastAsia="仿宋" w:cs="仿宋"/>
                <w:b/>
                <w:bCs/>
                <w:sz w:val="24"/>
                <w:szCs w:val="24"/>
                <w:highlight w:val="none"/>
              </w:rPr>
              <w:t>专业</w:t>
            </w:r>
            <w:r>
              <w:rPr>
                <w:rFonts w:hint="eastAsia" w:ascii="仿宋" w:hAnsi="仿宋" w:eastAsia="仿宋" w:cs="仿宋"/>
                <w:b/>
                <w:bCs/>
                <w:sz w:val="24"/>
                <w:szCs w:val="24"/>
                <w:highlight w:val="none"/>
                <w:lang w:val="en-US" w:eastAsia="zh-CN"/>
              </w:rPr>
              <w:t>修读课程</w:t>
            </w:r>
          </w:p>
        </w:tc>
        <w:tc>
          <w:tcPr>
            <w:tcW w:w="2058" w:type="dxa"/>
            <w:vAlign w:val="center"/>
          </w:tcPr>
          <w:p>
            <w:pPr>
              <w:spacing w:line="480" w:lineRule="exact"/>
              <w:jc w:val="center"/>
              <w:rPr>
                <w:rFonts w:hint="default"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招生范围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822" w:type="dxa"/>
            <w:vAlign w:val="center"/>
          </w:tcPr>
          <w:p>
            <w:pPr>
              <w:widowControl/>
              <w:spacing w:line="480" w:lineRule="exact"/>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1</w:t>
            </w:r>
          </w:p>
        </w:tc>
        <w:tc>
          <w:tcPr>
            <w:tcW w:w="1578" w:type="dxa"/>
            <w:vAlign w:val="center"/>
          </w:tcPr>
          <w:p>
            <w:pPr>
              <w:widowControl/>
              <w:spacing w:line="480" w:lineRule="exact"/>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CN" w:bidi="ar"/>
              </w:rPr>
              <w:t>数字贸易</w:t>
            </w:r>
          </w:p>
        </w:tc>
        <w:tc>
          <w:tcPr>
            <w:tcW w:w="1071" w:type="dxa"/>
            <w:vAlign w:val="center"/>
          </w:tcPr>
          <w:p>
            <w:pPr>
              <w:widowControl/>
              <w:spacing w:line="480" w:lineRule="exact"/>
              <w:jc w:val="center"/>
              <w:textAlignment w:val="center"/>
              <w:rPr>
                <w:rFonts w:hint="default"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12</w:t>
            </w:r>
          </w:p>
        </w:tc>
        <w:tc>
          <w:tcPr>
            <w:tcW w:w="2990" w:type="dxa"/>
            <w:vAlign w:val="center"/>
          </w:tcPr>
          <w:p>
            <w:pPr>
              <w:widowControl/>
              <w:spacing w:line="480" w:lineRule="exact"/>
              <w:jc w:val="left"/>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CN" w:bidi="ar"/>
              </w:rPr>
              <w:t>1.数字贸易理论与应用</w:t>
            </w:r>
            <w:r>
              <w:rPr>
                <w:rFonts w:hint="eastAsia" w:ascii="仿宋_GB2312" w:hAnsi="仿宋_GB2312" w:eastAsia="仿宋_GB2312" w:cs="仿宋_GB2312"/>
                <w:kern w:val="0"/>
                <w:sz w:val="24"/>
                <w:szCs w:val="24"/>
                <w:highlight w:val="none"/>
                <w:lang w:val="en-US" w:eastAsia="zh-CN" w:bidi="ar"/>
              </w:rPr>
              <w:br w:type="textWrapping"/>
            </w:r>
            <w:r>
              <w:rPr>
                <w:rFonts w:hint="eastAsia" w:ascii="仿宋_GB2312" w:hAnsi="仿宋_GB2312" w:eastAsia="仿宋_GB2312" w:cs="仿宋_GB2312"/>
                <w:kern w:val="0"/>
                <w:sz w:val="24"/>
                <w:szCs w:val="24"/>
                <w:highlight w:val="none"/>
                <w:lang w:val="en-US" w:eastAsia="zh-CN" w:bidi="ar"/>
              </w:rPr>
              <w:t>2.大数据与商务分析</w:t>
            </w:r>
            <w:r>
              <w:rPr>
                <w:rFonts w:hint="eastAsia" w:ascii="仿宋_GB2312" w:hAnsi="仿宋_GB2312" w:eastAsia="仿宋_GB2312" w:cs="仿宋_GB2312"/>
                <w:kern w:val="0"/>
                <w:sz w:val="24"/>
                <w:szCs w:val="24"/>
                <w:highlight w:val="none"/>
                <w:lang w:val="en-US" w:eastAsia="zh-CN" w:bidi="ar"/>
              </w:rPr>
              <w:br w:type="textWrapping"/>
            </w:r>
            <w:r>
              <w:rPr>
                <w:rFonts w:hint="eastAsia" w:ascii="仿宋_GB2312" w:hAnsi="仿宋_GB2312" w:eastAsia="仿宋_GB2312" w:cs="仿宋_GB2312"/>
                <w:kern w:val="0"/>
                <w:sz w:val="24"/>
                <w:szCs w:val="24"/>
                <w:highlight w:val="none"/>
                <w:lang w:val="en-US" w:eastAsia="zh-CN" w:bidi="ar"/>
              </w:rPr>
              <w:t>3.区块链技术与应用</w:t>
            </w:r>
            <w:r>
              <w:rPr>
                <w:rFonts w:hint="eastAsia" w:ascii="仿宋_GB2312" w:hAnsi="仿宋_GB2312" w:eastAsia="仿宋_GB2312" w:cs="仿宋_GB2312"/>
                <w:kern w:val="0"/>
                <w:sz w:val="24"/>
                <w:szCs w:val="24"/>
                <w:highlight w:val="none"/>
                <w:lang w:val="en-US" w:eastAsia="zh-CN" w:bidi="ar"/>
              </w:rPr>
              <w:br w:type="textWrapping"/>
            </w:r>
            <w:r>
              <w:rPr>
                <w:rFonts w:hint="eastAsia" w:ascii="仿宋_GB2312" w:hAnsi="仿宋_GB2312" w:eastAsia="仿宋_GB2312" w:cs="仿宋_GB2312"/>
                <w:kern w:val="0"/>
                <w:sz w:val="24"/>
                <w:szCs w:val="24"/>
                <w:highlight w:val="none"/>
                <w:lang w:val="en-US" w:eastAsia="zh-CN" w:bidi="ar"/>
              </w:rPr>
              <w:t>4.数字化供应链运营</w:t>
            </w:r>
          </w:p>
        </w:tc>
        <w:tc>
          <w:tcPr>
            <w:tcW w:w="2058" w:type="dxa"/>
            <w:vAlign w:val="center"/>
          </w:tcPr>
          <w:p>
            <w:pPr>
              <w:widowControl/>
              <w:spacing w:line="480" w:lineRule="exact"/>
              <w:jc w:val="center"/>
              <w:textAlignment w:val="center"/>
              <w:rPr>
                <w:rFonts w:hint="default"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2021级、2022级全校各专业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2" w:type="dxa"/>
            <w:vAlign w:val="center"/>
          </w:tcPr>
          <w:p>
            <w:pPr>
              <w:widowControl/>
              <w:spacing w:line="480" w:lineRule="exact"/>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2</w:t>
            </w:r>
          </w:p>
        </w:tc>
        <w:tc>
          <w:tcPr>
            <w:tcW w:w="1578" w:type="dxa"/>
            <w:vAlign w:val="center"/>
          </w:tcPr>
          <w:p>
            <w:pPr>
              <w:widowControl/>
              <w:spacing w:line="480" w:lineRule="exact"/>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CN" w:bidi="ar"/>
              </w:rPr>
              <w:t>语言技术与翻译管理</w:t>
            </w:r>
          </w:p>
        </w:tc>
        <w:tc>
          <w:tcPr>
            <w:tcW w:w="1071" w:type="dxa"/>
            <w:vAlign w:val="center"/>
          </w:tcPr>
          <w:p>
            <w:pPr>
              <w:widowControl/>
              <w:spacing w:line="480" w:lineRule="exact"/>
              <w:jc w:val="center"/>
              <w:textAlignment w:val="center"/>
              <w:rPr>
                <w:rFonts w:hint="default"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12</w:t>
            </w:r>
          </w:p>
        </w:tc>
        <w:tc>
          <w:tcPr>
            <w:tcW w:w="2990" w:type="dxa"/>
            <w:vAlign w:val="center"/>
          </w:tcPr>
          <w:p>
            <w:pPr>
              <w:widowControl/>
              <w:spacing w:line="480" w:lineRule="exact"/>
              <w:jc w:val="left"/>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CN" w:bidi="ar"/>
              </w:rPr>
              <w:t>1.翻译与搜索</w:t>
            </w:r>
            <w:r>
              <w:rPr>
                <w:rFonts w:hint="eastAsia" w:ascii="仿宋_GB2312" w:hAnsi="仿宋_GB2312" w:eastAsia="仿宋_GB2312" w:cs="仿宋_GB2312"/>
                <w:kern w:val="0"/>
                <w:sz w:val="24"/>
                <w:szCs w:val="24"/>
                <w:highlight w:val="none"/>
                <w:lang w:val="en-US" w:eastAsia="zh-CN" w:bidi="ar"/>
              </w:rPr>
              <w:br w:type="textWrapping"/>
            </w:r>
            <w:r>
              <w:rPr>
                <w:rFonts w:hint="eastAsia" w:ascii="仿宋_GB2312" w:hAnsi="仿宋_GB2312" w:eastAsia="仿宋_GB2312" w:cs="仿宋_GB2312"/>
                <w:kern w:val="0"/>
                <w:sz w:val="24"/>
                <w:szCs w:val="24"/>
                <w:highlight w:val="none"/>
                <w:lang w:val="en-US" w:eastAsia="zh-CN" w:bidi="ar"/>
              </w:rPr>
              <w:t>2.语料库语言学</w:t>
            </w:r>
            <w:r>
              <w:rPr>
                <w:rFonts w:hint="eastAsia" w:ascii="仿宋_GB2312" w:hAnsi="仿宋_GB2312" w:eastAsia="仿宋_GB2312" w:cs="仿宋_GB2312"/>
                <w:kern w:val="0"/>
                <w:sz w:val="24"/>
                <w:szCs w:val="24"/>
                <w:highlight w:val="none"/>
                <w:lang w:val="en-US" w:eastAsia="zh-CN" w:bidi="ar"/>
              </w:rPr>
              <w:br w:type="textWrapping"/>
            </w:r>
            <w:r>
              <w:rPr>
                <w:rFonts w:hint="eastAsia" w:ascii="仿宋_GB2312" w:hAnsi="仿宋_GB2312" w:eastAsia="仿宋_GB2312" w:cs="仿宋_GB2312"/>
                <w:kern w:val="0"/>
                <w:sz w:val="24"/>
                <w:szCs w:val="24"/>
                <w:highlight w:val="none"/>
                <w:lang w:val="en-US" w:eastAsia="zh-CN" w:bidi="ar"/>
              </w:rPr>
              <w:t>3.本地化翻译</w:t>
            </w:r>
            <w:r>
              <w:rPr>
                <w:rFonts w:hint="eastAsia" w:ascii="仿宋_GB2312" w:hAnsi="仿宋_GB2312" w:eastAsia="仿宋_GB2312" w:cs="仿宋_GB2312"/>
                <w:kern w:val="0"/>
                <w:sz w:val="24"/>
                <w:szCs w:val="24"/>
                <w:highlight w:val="none"/>
                <w:lang w:val="en-US" w:eastAsia="zh-CN" w:bidi="ar"/>
              </w:rPr>
              <w:br w:type="textWrapping"/>
            </w:r>
            <w:r>
              <w:rPr>
                <w:rFonts w:hint="eastAsia" w:ascii="仿宋_GB2312" w:hAnsi="仿宋_GB2312" w:eastAsia="仿宋_GB2312" w:cs="仿宋_GB2312"/>
                <w:kern w:val="0"/>
                <w:sz w:val="24"/>
                <w:szCs w:val="24"/>
                <w:highlight w:val="none"/>
                <w:lang w:val="en-US" w:eastAsia="zh-CN" w:bidi="ar"/>
              </w:rPr>
              <w:t>4.机器翻译与译后编辑</w:t>
            </w:r>
            <w:r>
              <w:rPr>
                <w:rFonts w:hint="eastAsia" w:ascii="仿宋_GB2312" w:hAnsi="仿宋_GB2312" w:eastAsia="仿宋_GB2312" w:cs="仿宋_GB2312"/>
                <w:kern w:val="0"/>
                <w:sz w:val="24"/>
                <w:szCs w:val="24"/>
                <w:highlight w:val="none"/>
                <w:lang w:val="en-US" w:eastAsia="zh-CN" w:bidi="ar"/>
              </w:rPr>
              <w:br w:type="textWrapping"/>
            </w:r>
            <w:r>
              <w:rPr>
                <w:rFonts w:hint="eastAsia" w:ascii="仿宋_GB2312" w:hAnsi="仿宋_GB2312" w:eastAsia="仿宋_GB2312" w:cs="仿宋_GB2312"/>
                <w:kern w:val="0"/>
                <w:sz w:val="24"/>
                <w:szCs w:val="24"/>
                <w:highlight w:val="none"/>
                <w:lang w:val="en-US" w:eastAsia="zh-CN" w:bidi="ar"/>
              </w:rPr>
              <w:t>5.翻译项目管理</w:t>
            </w:r>
          </w:p>
        </w:tc>
        <w:tc>
          <w:tcPr>
            <w:tcW w:w="2058" w:type="dxa"/>
            <w:vAlign w:val="center"/>
          </w:tcPr>
          <w:p>
            <w:pPr>
              <w:widowControl/>
              <w:spacing w:line="480" w:lineRule="exact"/>
              <w:jc w:val="center"/>
              <w:textAlignment w:val="center"/>
              <w:rPr>
                <w:rFonts w:hint="default"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全校各专业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822" w:type="dxa"/>
            <w:vAlign w:val="center"/>
          </w:tcPr>
          <w:p>
            <w:pPr>
              <w:widowControl/>
              <w:spacing w:line="480" w:lineRule="exact"/>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3</w:t>
            </w:r>
          </w:p>
        </w:tc>
        <w:tc>
          <w:tcPr>
            <w:tcW w:w="1578" w:type="dxa"/>
            <w:vAlign w:val="center"/>
          </w:tcPr>
          <w:p>
            <w:pPr>
              <w:widowControl/>
              <w:spacing w:line="480" w:lineRule="exact"/>
              <w:jc w:val="center"/>
              <w:textAlignment w:val="center"/>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国际商务语言服务</w:t>
            </w:r>
          </w:p>
        </w:tc>
        <w:tc>
          <w:tcPr>
            <w:tcW w:w="1071" w:type="dxa"/>
            <w:vAlign w:val="center"/>
          </w:tcPr>
          <w:p>
            <w:pPr>
              <w:widowControl/>
              <w:spacing w:line="480" w:lineRule="exact"/>
              <w:jc w:val="center"/>
              <w:textAlignment w:val="center"/>
              <w:rPr>
                <w:rFonts w:hint="default"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12</w:t>
            </w:r>
          </w:p>
        </w:tc>
        <w:tc>
          <w:tcPr>
            <w:tcW w:w="2990" w:type="dxa"/>
            <w:vAlign w:val="center"/>
          </w:tcPr>
          <w:p>
            <w:pPr>
              <w:widowControl/>
              <w:spacing w:line="480" w:lineRule="exact"/>
              <w:jc w:val="left"/>
              <w:textAlignment w:val="center"/>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1.语言服务与商务笔译；</w:t>
            </w:r>
            <w:r>
              <w:rPr>
                <w:rFonts w:hint="eastAsia" w:ascii="仿宋_GB2312" w:hAnsi="仿宋_GB2312" w:eastAsia="仿宋_GB2312" w:cs="仿宋_GB2312"/>
                <w:kern w:val="0"/>
                <w:sz w:val="24"/>
                <w:szCs w:val="24"/>
                <w:highlight w:val="none"/>
                <w:lang w:val="en-US" w:eastAsia="zh-CN" w:bidi="ar"/>
              </w:rPr>
              <w:br w:type="textWrapping"/>
            </w:r>
            <w:r>
              <w:rPr>
                <w:rFonts w:hint="eastAsia" w:ascii="仿宋_GB2312" w:hAnsi="仿宋_GB2312" w:eastAsia="仿宋_GB2312" w:cs="仿宋_GB2312"/>
                <w:kern w:val="0"/>
                <w:sz w:val="24"/>
                <w:szCs w:val="24"/>
                <w:highlight w:val="none"/>
                <w:lang w:val="en-US" w:eastAsia="zh-CN" w:bidi="ar"/>
              </w:rPr>
              <w:t>2.国际商务口译；</w:t>
            </w:r>
            <w:r>
              <w:rPr>
                <w:rFonts w:hint="eastAsia" w:ascii="仿宋_GB2312" w:hAnsi="仿宋_GB2312" w:eastAsia="仿宋_GB2312" w:cs="仿宋_GB2312"/>
                <w:kern w:val="0"/>
                <w:sz w:val="24"/>
                <w:szCs w:val="24"/>
                <w:highlight w:val="none"/>
                <w:lang w:val="en-US" w:eastAsia="zh-CN" w:bidi="ar"/>
              </w:rPr>
              <w:br w:type="textWrapping"/>
            </w:r>
            <w:r>
              <w:rPr>
                <w:rFonts w:hint="eastAsia" w:ascii="仿宋_GB2312" w:hAnsi="仿宋_GB2312" w:eastAsia="仿宋_GB2312" w:cs="仿宋_GB2312"/>
                <w:kern w:val="0"/>
                <w:sz w:val="24"/>
                <w:szCs w:val="24"/>
                <w:highlight w:val="none"/>
                <w:lang w:val="en-US" w:eastAsia="zh-CN" w:bidi="ar"/>
              </w:rPr>
              <w:t>3.会展服务英语；</w:t>
            </w:r>
            <w:r>
              <w:rPr>
                <w:rFonts w:hint="eastAsia" w:ascii="仿宋_GB2312" w:hAnsi="仿宋_GB2312" w:eastAsia="仿宋_GB2312" w:cs="仿宋_GB2312"/>
                <w:kern w:val="0"/>
                <w:sz w:val="24"/>
                <w:szCs w:val="24"/>
                <w:highlight w:val="none"/>
                <w:lang w:val="en-US" w:eastAsia="zh-CN" w:bidi="ar"/>
              </w:rPr>
              <w:br w:type="textWrapping"/>
            </w:r>
            <w:r>
              <w:rPr>
                <w:rFonts w:hint="eastAsia" w:ascii="仿宋_GB2312" w:hAnsi="仿宋_GB2312" w:eastAsia="仿宋_GB2312" w:cs="仿宋_GB2312"/>
                <w:kern w:val="0"/>
                <w:sz w:val="24"/>
                <w:szCs w:val="24"/>
                <w:highlight w:val="none"/>
                <w:lang w:val="en-US" w:eastAsia="zh-CN" w:bidi="ar"/>
              </w:rPr>
              <w:t>4.对外贸易语言服务</w:t>
            </w:r>
          </w:p>
        </w:tc>
        <w:tc>
          <w:tcPr>
            <w:tcW w:w="2058" w:type="dxa"/>
            <w:vAlign w:val="center"/>
          </w:tcPr>
          <w:p>
            <w:pPr>
              <w:widowControl/>
              <w:spacing w:line="480" w:lineRule="exact"/>
              <w:jc w:val="center"/>
              <w:textAlignment w:val="center"/>
              <w:rPr>
                <w:rFonts w:hint="default"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全校各专业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22" w:type="dxa"/>
            <w:vAlign w:val="center"/>
          </w:tcPr>
          <w:p>
            <w:pPr>
              <w:widowControl/>
              <w:spacing w:line="480" w:lineRule="exact"/>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4</w:t>
            </w:r>
          </w:p>
        </w:tc>
        <w:tc>
          <w:tcPr>
            <w:tcW w:w="1578" w:type="dxa"/>
            <w:vAlign w:val="center"/>
          </w:tcPr>
          <w:p>
            <w:pPr>
              <w:widowControl/>
              <w:spacing w:line="480" w:lineRule="exact"/>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CN" w:bidi="ar"/>
              </w:rPr>
              <w:t>财经数据挖掘与应用</w:t>
            </w:r>
          </w:p>
        </w:tc>
        <w:tc>
          <w:tcPr>
            <w:tcW w:w="1071" w:type="dxa"/>
            <w:vAlign w:val="center"/>
          </w:tcPr>
          <w:p>
            <w:pPr>
              <w:widowControl/>
              <w:spacing w:line="480" w:lineRule="exact"/>
              <w:jc w:val="center"/>
              <w:textAlignment w:val="center"/>
              <w:rPr>
                <w:rFonts w:hint="default"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12</w:t>
            </w:r>
          </w:p>
        </w:tc>
        <w:tc>
          <w:tcPr>
            <w:tcW w:w="2990" w:type="dxa"/>
            <w:vAlign w:val="center"/>
          </w:tcPr>
          <w:p>
            <w:pPr>
              <w:widowControl/>
              <w:spacing w:line="480" w:lineRule="exact"/>
              <w:jc w:val="left"/>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CN" w:bidi="ar"/>
              </w:rPr>
              <w:t>1.财务数据分析工具应用</w:t>
            </w:r>
            <w:r>
              <w:rPr>
                <w:rFonts w:hint="eastAsia" w:ascii="仿宋_GB2312" w:hAnsi="仿宋_GB2312" w:eastAsia="仿宋_GB2312" w:cs="仿宋_GB2312"/>
                <w:kern w:val="0"/>
                <w:sz w:val="24"/>
                <w:szCs w:val="24"/>
                <w:highlight w:val="none"/>
                <w:lang w:val="en-US" w:eastAsia="zh-CN" w:bidi="ar"/>
              </w:rPr>
              <w:br w:type="textWrapping"/>
            </w:r>
            <w:r>
              <w:rPr>
                <w:rFonts w:hint="eastAsia" w:ascii="仿宋_GB2312" w:hAnsi="仿宋_GB2312" w:eastAsia="仿宋_GB2312" w:cs="仿宋_GB2312"/>
                <w:kern w:val="0"/>
                <w:sz w:val="24"/>
                <w:szCs w:val="24"/>
                <w:highlight w:val="none"/>
                <w:lang w:val="en-US" w:eastAsia="zh-CN" w:bidi="ar"/>
              </w:rPr>
              <w:t>2.企业经营与财务分析</w:t>
            </w:r>
            <w:r>
              <w:rPr>
                <w:rFonts w:hint="eastAsia" w:ascii="仿宋_GB2312" w:hAnsi="仿宋_GB2312" w:eastAsia="仿宋_GB2312" w:cs="仿宋_GB2312"/>
                <w:kern w:val="0"/>
                <w:sz w:val="24"/>
                <w:szCs w:val="24"/>
                <w:highlight w:val="none"/>
                <w:lang w:val="en-US" w:eastAsia="zh-CN" w:bidi="ar"/>
              </w:rPr>
              <w:br w:type="textWrapping"/>
            </w:r>
            <w:r>
              <w:rPr>
                <w:rFonts w:hint="eastAsia" w:ascii="仿宋_GB2312" w:hAnsi="仿宋_GB2312" w:eastAsia="仿宋_GB2312" w:cs="仿宋_GB2312"/>
                <w:kern w:val="0"/>
                <w:sz w:val="24"/>
                <w:szCs w:val="24"/>
                <w:highlight w:val="none"/>
                <w:lang w:val="en-US" w:eastAsia="zh-CN" w:bidi="ar"/>
              </w:rPr>
              <w:t>3.智能财务项目实战</w:t>
            </w:r>
            <w:r>
              <w:rPr>
                <w:rFonts w:hint="eastAsia" w:ascii="仿宋_GB2312" w:hAnsi="仿宋_GB2312" w:eastAsia="仿宋_GB2312" w:cs="仿宋_GB2312"/>
                <w:kern w:val="0"/>
                <w:sz w:val="24"/>
                <w:szCs w:val="24"/>
                <w:highlight w:val="none"/>
                <w:lang w:val="en-US" w:eastAsia="zh-CN" w:bidi="ar"/>
              </w:rPr>
              <w:br w:type="textWrapping"/>
            </w:r>
            <w:r>
              <w:rPr>
                <w:rFonts w:hint="eastAsia" w:ascii="仿宋_GB2312" w:hAnsi="仿宋_GB2312" w:eastAsia="仿宋_GB2312" w:cs="仿宋_GB2312"/>
                <w:kern w:val="0"/>
                <w:sz w:val="24"/>
                <w:szCs w:val="24"/>
                <w:highlight w:val="none"/>
                <w:lang w:val="en-US" w:eastAsia="zh-CN" w:bidi="ar"/>
              </w:rPr>
              <w:t>4.大数据投融资实务</w:t>
            </w:r>
          </w:p>
        </w:tc>
        <w:tc>
          <w:tcPr>
            <w:tcW w:w="2058" w:type="dxa"/>
            <w:vAlign w:val="center"/>
          </w:tcPr>
          <w:p>
            <w:pPr>
              <w:widowControl/>
              <w:spacing w:line="480" w:lineRule="exact"/>
              <w:jc w:val="center"/>
              <w:textAlignment w:val="center"/>
              <w:rPr>
                <w:rFonts w:hint="default"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2021级、2022级全校各专业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22" w:type="dxa"/>
            <w:vAlign w:val="center"/>
          </w:tcPr>
          <w:p>
            <w:pPr>
              <w:widowControl/>
              <w:spacing w:line="480" w:lineRule="exact"/>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5</w:t>
            </w:r>
          </w:p>
        </w:tc>
        <w:tc>
          <w:tcPr>
            <w:tcW w:w="1578" w:type="dxa"/>
            <w:vAlign w:val="center"/>
          </w:tcPr>
          <w:p>
            <w:pPr>
              <w:widowControl/>
              <w:spacing w:line="480" w:lineRule="exact"/>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CN" w:bidi="ar"/>
              </w:rPr>
              <w:t>大数据管理与应用</w:t>
            </w:r>
          </w:p>
        </w:tc>
        <w:tc>
          <w:tcPr>
            <w:tcW w:w="1071" w:type="dxa"/>
            <w:vAlign w:val="center"/>
          </w:tcPr>
          <w:p>
            <w:pPr>
              <w:widowControl/>
              <w:spacing w:line="480" w:lineRule="exact"/>
              <w:jc w:val="center"/>
              <w:textAlignment w:val="center"/>
              <w:rPr>
                <w:rFonts w:hint="default"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12</w:t>
            </w:r>
          </w:p>
        </w:tc>
        <w:tc>
          <w:tcPr>
            <w:tcW w:w="2990" w:type="dxa"/>
            <w:vAlign w:val="center"/>
          </w:tcPr>
          <w:p>
            <w:pPr>
              <w:widowControl/>
              <w:spacing w:line="480" w:lineRule="exact"/>
              <w:jc w:val="left"/>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CN" w:bidi="ar"/>
              </w:rPr>
              <w:t>1.数据思维</w:t>
            </w:r>
            <w:r>
              <w:rPr>
                <w:rFonts w:hint="eastAsia" w:ascii="仿宋_GB2312" w:hAnsi="仿宋_GB2312" w:eastAsia="仿宋_GB2312" w:cs="仿宋_GB2312"/>
                <w:kern w:val="0"/>
                <w:sz w:val="24"/>
                <w:szCs w:val="24"/>
                <w:highlight w:val="none"/>
                <w:lang w:val="en-US" w:eastAsia="zh-CN" w:bidi="ar"/>
              </w:rPr>
              <w:br w:type="textWrapping"/>
            </w:r>
            <w:r>
              <w:rPr>
                <w:rFonts w:hint="eastAsia" w:ascii="仿宋_GB2312" w:hAnsi="仿宋_GB2312" w:eastAsia="仿宋_GB2312" w:cs="仿宋_GB2312"/>
                <w:kern w:val="0"/>
                <w:sz w:val="24"/>
                <w:szCs w:val="24"/>
                <w:highlight w:val="none"/>
                <w:lang w:val="en-US" w:eastAsia="zh-CN" w:bidi="ar"/>
              </w:rPr>
              <w:t>2.可视化数据分析技术</w:t>
            </w:r>
            <w:r>
              <w:rPr>
                <w:rFonts w:hint="eastAsia" w:ascii="仿宋_GB2312" w:hAnsi="仿宋_GB2312" w:eastAsia="仿宋_GB2312" w:cs="仿宋_GB2312"/>
                <w:kern w:val="0"/>
                <w:sz w:val="24"/>
                <w:szCs w:val="24"/>
                <w:highlight w:val="none"/>
                <w:lang w:val="en-US" w:eastAsia="zh-CN" w:bidi="ar"/>
              </w:rPr>
              <w:br w:type="textWrapping"/>
            </w:r>
            <w:r>
              <w:rPr>
                <w:rFonts w:hint="eastAsia" w:ascii="仿宋_GB2312" w:hAnsi="仿宋_GB2312" w:eastAsia="仿宋_GB2312" w:cs="仿宋_GB2312"/>
                <w:kern w:val="0"/>
                <w:sz w:val="24"/>
                <w:szCs w:val="24"/>
                <w:highlight w:val="none"/>
                <w:lang w:val="en-US" w:eastAsia="zh-CN" w:bidi="ar"/>
              </w:rPr>
              <w:t>3.人工智能前沿应用</w:t>
            </w:r>
            <w:r>
              <w:rPr>
                <w:rFonts w:hint="eastAsia" w:ascii="仿宋_GB2312" w:hAnsi="仿宋_GB2312" w:eastAsia="仿宋_GB2312" w:cs="仿宋_GB2312"/>
                <w:kern w:val="0"/>
                <w:sz w:val="24"/>
                <w:szCs w:val="24"/>
                <w:highlight w:val="none"/>
                <w:lang w:val="en-US" w:eastAsia="zh-CN" w:bidi="ar"/>
              </w:rPr>
              <w:br w:type="textWrapping"/>
            </w:r>
            <w:r>
              <w:rPr>
                <w:rFonts w:hint="eastAsia" w:ascii="仿宋_GB2312" w:hAnsi="仿宋_GB2312" w:eastAsia="仿宋_GB2312" w:cs="仿宋_GB2312"/>
                <w:kern w:val="0"/>
                <w:sz w:val="24"/>
                <w:szCs w:val="24"/>
                <w:highlight w:val="none"/>
                <w:lang w:val="en-US" w:eastAsia="zh-CN" w:bidi="ar"/>
              </w:rPr>
              <w:t>4.数据智能技术与应用</w:t>
            </w:r>
            <w:r>
              <w:rPr>
                <w:rFonts w:hint="eastAsia" w:ascii="仿宋_GB2312" w:hAnsi="仿宋_GB2312" w:eastAsia="仿宋_GB2312" w:cs="仿宋_GB2312"/>
                <w:kern w:val="0"/>
                <w:sz w:val="24"/>
                <w:szCs w:val="24"/>
                <w:highlight w:val="none"/>
                <w:lang w:val="en-US" w:eastAsia="zh-CN" w:bidi="ar"/>
              </w:rPr>
              <w:br w:type="textWrapping"/>
            </w:r>
            <w:r>
              <w:rPr>
                <w:rFonts w:hint="eastAsia" w:ascii="仿宋_GB2312" w:hAnsi="仿宋_GB2312" w:eastAsia="仿宋_GB2312" w:cs="仿宋_GB2312"/>
                <w:kern w:val="0"/>
                <w:sz w:val="24"/>
                <w:szCs w:val="24"/>
                <w:highlight w:val="none"/>
                <w:lang w:val="en-US" w:eastAsia="zh-CN" w:bidi="ar"/>
              </w:rPr>
              <w:t>5.人工智能数据挖掘</w:t>
            </w:r>
            <w:r>
              <w:rPr>
                <w:rFonts w:hint="eastAsia" w:ascii="仿宋_GB2312" w:hAnsi="仿宋_GB2312" w:eastAsia="仿宋_GB2312" w:cs="仿宋_GB2312"/>
                <w:kern w:val="0"/>
                <w:sz w:val="24"/>
                <w:szCs w:val="24"/>
                <w:highlight w:val="none"/>
                <w:lang w:val="en-US" w:eastAsia="zh-CN" w:bidi="ar"/>
              </w:rPr>
              <w:br w:type="textWrapping"/>
            </w:r>
            <w:r>
              <w:rPr>
                <w:rFonts w:hint="eastAsia" w:ascii="仿宋_GB2312" w:hAnsi="仿宋_GB2312" w:eastAsia="仿宋_GB2312" w:cs="仿宋_GB2312"/>
                <w:kern w:val="0"/>
                <w:sz w:val="24"/>
                <w:szCs w:val="24"/>
                <w:highlight w:val="none"/>
                <w:lang w:val="en-US" w:eastAsia="zh-CN" w:bidi="ar"/>
              </w:rPr>
              <w:t>6.大数据管理与治理</w:t>
            </w:r>
          </w:p>
        </w:tc>
        <w:tc>
          <w:tcPr>
            <w:tcW w:w="2058" w:type="dxa"/>
            <w:vAlign w:val="center"/>
          </w:tcPr>
          <w:p>
            <w:pPr>
              <w:widowControl/>
              <w:spacing w:line="480" w:lineRule="exact"/>
              <w:jc w:val="center"/>
              <w:textAlignment w:val="center"/>
              <w:rPr>
                <w:rFonts w:hint="default"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2021级、2022级全校各专业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22" w:type="dxa"/>
            <w:vAlign w:val="center"/>
          </w:tcPr>
          <w:p>
            <w:pPr>
              <w:widowControl/>
              <w:spacing w:line="480" w:lineRule="exact"/>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6</w:t>
            </w:r>
          </w:p>
        </w:tc>
        <w:tc>
          <w:tcPr>
            <w:tcW w:w="1578" w:type="dxa"/>
            <w:vAlign w:val="center"/>
          </w:tcPr>
          <w:p>
            <w:pPr>
              <w:widowControl/>
              <w:spacing w:line="480" w:lineRule="exact"/>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CN" w:bidi="ar"/>
              </w:rPr>
              <w:t>数字文旅</w:t>
            </w:r>
          </w:p>
        </w:tc>
        <w:tc>
          <w:tcPr>
            <w:tcW w:w="1071" w:type="dxa"/>
            <w:vAlign w:val="center"/>
          </w:tcPr>
          <w:p>
            <w:pPr>
              <w:widowControl/>
              <w:spacing w:line="480" w:lineRule="exact"/>
              <w:jc w:val="center"/>
              <w:textAlignment w:val="center"/>
              <w:rPr>
                <w:rFonts w:hint="default"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12</w:t>
            </w:r>
          </w:p>
        </w:tc>
        <w:tc>
          <w:tcPr>
            <w:tcW w:w="2990" w:type="dxa"/>
            <w:vAlign w:val="center"/>
          </w:tcPr>
          <w:p>
            <w:pPr>
              <w:widowControl/>
              <w:spacing w:line="480" w:lineRule="exact"/>
              <w:jc w:val="left"/>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CN" w:bidi="ar"/>
              </w:rPr>
              <w:t>1.智慧旅游发展与实践</w:t>
            </w:r>
            <w:r>
              <w:rPr>
                <w:rFonts w:hint="eastAsia" w:ascii="仿宋_GB2312" w:hAnsi="仿宋_GB2312" w:eastAsia="仿宋_GB2312" w:cs="仿宋_GB2312"/>
                <w:kern w:val="0"/>
                <w:sz w:val="24"/>
                <w:szCs w:val="24"/>
                <w:highlight w:val="none"/>
                <w:lang w:val="en-US" w:eastAsia="zh-CN" w:bidi="ar"/>
              </w:rPr>
              <w:br w:type="textWrapping"/>
            </w:r>
            <w:r>
              <w:rPr>
                <w:rFonts w:hint="eastAsia" w:ascii="仿宋_GB2312" w:hAnsi="仿宋_GB2312" w:eastAsia="仿宋_GB2312" w:cs="仿宋_GB2312"/>
                <w:kern w:val="0"/>
                <w:sz w:val="24"/>
                <w:szCs w:val="24"/>
                <w:highlight w:val="none"/>
                <w:lang w:val="en-US" w:eastAsia="zh-CN" w:bidi="ar"/>
              </w:rPr>
              <w:t>2.旅游数字营销</w:t>
            </w:r>
            <w:r>
              <w:rPr>
                <w:rFonts w:hint="eastAsia" w:ascii="仿宋_GB2312" w:hAnsi="仿宋_GB2312" w:eastAsia="仿宋_GB2312" w:cs="仿宋_GB2312"/>
                <w:kern w:val="0"/>
                <w:sz w:val="24"/>
                <w:szCs w:val="24"/>
                <w:highlight w:val="none"/>
                <w:lang w:val="en-US" w:eastAsia="zh-CN" w:bidi="ar"/>
              </w:rPr>
              <w:br w:type="textWrapping"/>
            </w:r>
            <w:r>
              <w:rPr>
                <w:rFonts w:hint="eastAsia" w:ascii="仿宋_GB2312" w:hAnsi="仿宋_GB2312" w:eastAsia="仿宋_GB2312" w:cs="仿宋_GB2312"/>
                <w:kern w:val="0"/>
                <w:sz w:val="24"/>
                <w:szCs w:val="24"/>
                <w:highlight w:val="none"/>
                <w:lang w:val="en-US" w:eastAsia="zh-CN" w:bidi="ar"/>
              </w:rPr>
              <w:t>3.数字会展策划与设计</w:t>
            </w:r>
            <w:r>
              <w:rPr>
                <w:rFonts w:hint="eastAsia" w:ascii="仿宋_GB2312" w:hAnsi="仿宋_GB2312" w:eastAsia="仿宋_GB2312" w:cs="仿宋_GB2312"/>
                <w:kern w:val="0"/>
                <w:sz w:val="24"/>
                <w:szCs w:val="24"/>
                <w:highlight w:val="none"/>
                <w:lang w:val="en-US" w:eastAsia="zh-CN" w:bidi="ar"/>
              </w:rPr>
              <w:br w:type="textWrapping"/>
            </w:r>
            <w:r>
              <w:rPr>
                <w:rFonts w:hint="eastAsia" w:ascii="仿宋_GB2312" w:hAnsi="仿宋_GB2312" w:eastAsia="仿宋_GB2312" w:cs="仿宋_GB2312"/>
                <w:kern w:val="0"/>
                <w:sz w:val="24"/>
                <w:szCs w:val="24"/>
                <w:highlight w:val="none"/>
                <w:lang w:val="en-US" w:eastAsia="zh-CN" w:bidi="ar"/>
              </w:rPr>
              <w:t>4.数字文旅形象设计</w:t>
            </w:r>
            <w:r>
              <w:rPr>
                <w:rFonts w:hint="eastAsia" w:ascii="仿宋_GB2312" w:hAnsi="仿宋_GB2312" w:eastAsia="仿宋_GB2312" w:cs="仿宋_GB2312"/>
                <w:kern w:val="0"/>
                <w:sz w:val="24"/>
                <w:szCs w:val="24"/>
                <w:highlight w:val="none"/>
                <w:lang w:val="en-US" w:eastAsia="zh-CN" w:bidi="ar"/>
              </w:rPr>
              <w:br w:type="textWrapping"/>
            </w:r>
            <w:r>
              <w:rPr>
                <w:rFonts w:hint="eastAsia" w:ascii="仿宋_GB2312" w:hAnsi="仿宋_GB2312" w:eastAsia="仿宋_GB2312" w:cs="仿宋_GB2312"/>
                <w:kern w:val="0"/>
                <w:sz w:val="24"/>
                <w:szCs w:val="24"/>
                <w:highlight w:val="none"/>
                <w:lang w:val="en-US" w:eastAsia="zh-CN" w:bidi="ar"/>
              </w:rPr>
              <w:t>5.文旅大数据应用与实践</w:t>
            </w:r>
          </w:p>
        </w:tc>
        <w:tc>
          <w:tcPr>
            <w:tcW w:w="2058" w:type="dxa"/>
            <w:vAlign w:val="center"/>
          </w:tcPr>
          <w:p>
            <w:pPr>
              <w:widowControl/>
              <w:spacing w:line="480" w:lineRule="exact"/>
              <w:jc w:val="center"/>
              <w:textAlignment w:val="center"/>
              <w:rPr>
                <w:rFonts w:hint="default"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全校各专业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22" w:type="dxa"/>
            <w:vAlign w:val="center"/>
          </w:tcPr>
          <w:p>
            <w:pPr>
              <w:widowControl/>
              <w:spacing w:line="480" w:lineRule="exact"/>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7</w:t>
            </w:r>
          </w:p>
        </w:tc>
        <w:tc>
          <w:tcPr>
            <w:tcW w:w="1578" w:type="dxa"/>
            <w:vAlign w:val="center"/>
          </w:tcPr>
          <w:p>
            <w:pPr>
              <w:widowControl/>
              <w:spacing w:line="480" w:lineRule="exact"/>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CN" w:bidi="ar"/>
              </w:rPr>
              <w:t>智慧康养服务运营</w:t>
            </w:r>
          </w:p>
        </w:tc>
        <w:tc>
          <w:tcPr>
            <w:tcW w:w="1071" w:type="dxa"/>
            <w:vAlign w:val="center"/>
          </w:tcPr>
          <w:p>
            <w:pPr>
              <w:widowControl/>
              <w:spacing w:line="480" w:lineRule="exact"/>
              <w:jc w:val="center"/>
              <w:textAlignment w:val="center"/>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12</w:t>
            </w:r>
          </w:p>
        </w:tc>
        <w:tc>
          <w:tcPr>
            <w:tcW w:w="2990" w:type="dxa"/>
            <w:vAlign w:val="center"/>
          </w:tcPr>
          <w:p>
            <w:pPr>
              <w:widowControl/>
              <w:spacing w:line="480" w:lineRule="exact"/>
              <w:jc w:val="left"/>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CN" w:bidi="ar"/>
              </w:rPr>
              <w:t>1.智慧康养技术应用</w:t>
            </w:r>
            <w:r>
              <w:rPr>
                <w:rFonts w:hint="eastAsia" w:ascii="仿宋_GB2312" w:hAnsi="仿宋_GB2312" w:eastAsia="仿宋_GB2312" w:cs="仿宋_GB2312"/>
                <w:kern w:val="0"/>
                <w:sz w:val="24"/>
                <w:szCs w:val="24"/>
                <w:highlight w:val="none"/>
                <w:lang w:val="en-US" w:eastAsia="zh-CN" w:bidi="ar"/>
              </w:rPr>
              <w:br w:type="textWrapping"/>
            </w:r>
            <w:r>
              <w:rPr>
                <w:rFonts w:hint="eastAsia" w:ascii="仿宋_GB2312" w:hAnsi="仿宋_GB2312" w:eastAsia="仿宋_GB2312" w:cs="仿宋_GB2312"/>
                <w:kern w:val="0"/>
                <w:sz w:val="24"/>
                <w:szCs w:val="24"/>
                <w:highlight w:val="none"/>
                <w:lang w:val="en-US" w:eastAsia="zh-CN" w:bidi="ar"/>
              </w:rPr>
              <w:t>2.大数据中医药健康管理</w:t>
            </w:r>
            <w:r>
              <w:rPr>
                <w:rFonts w:hint="eastAsia" w:ascii="仿宋_GB2312" w:hAnsi="仿宋_GB2312" w:eastAsia="仿宋_GB2312" w:cs="仿宋_GB2312"/>
                <w:kern w:val="0"/>
                <w:sz w:val="24"/>
                <w:szCs w:val="24"/>
                <w:highlight w:val="none"/>
                <w:lang w:val="en-US" w:eastAsia="zh-CN" w:bidi="ar"/>
              </w:rPr>
              <w:br w:type="textWrapping"/>
            </w:r>
            <w:r>
              <w:rPr>
                <w:rFonts w:hint="eastAsia" w:ascii="仿宋_GB2312" w:hAnsi="仿宋_GB2312" w:eastAsia="仿宋_GB2312" w:cs="仿宋_GB2312"/>
                <w:kern w:val="0"/>
                <w:sz w:val="24"/>
                <w:szCs w:val="24"/>
                <w:highlight w:val="none"/>
                <w:lang w:val="en-US" w:eastAsia="zh-CN" w:bidi="ar"/>
              </w:rPr>
              <w:t>3.智能照护技术</w:t>
            </w:r>
            <w:r>
              <w:rPr>
                <w:rFonts w:hint="eastAsia" w:ascii="仿宋_GB2312" w:hAnsi="仿宋_GB2312" w:eastAsia="仿宋_GB2312" w:cs="仿宋_GB2312"/>
                <w:kern w:val="0"/>
                <w:sz w:val="24"/>
                <w:szCs w:val="24"/>
                <w:highlight w:val="none"/>
                <w:lang w:val="en-US" w:eastAsia="zh-CN" w:bidi="ar"/>
              </w:rPr>
              <w:br w:type="textWrapping"/>
            </w:r>
            <w:r>
              <w:rPr>
                <w:rFonts w:hint="eastAsia" w:ascii="仿宋_GB2312" w:hAnsi="仿宋_GB2312" w:eastAsia="仿宋_GB2312" w:cs="仿宋_GB2312"/>
                <w:kern w:val="0"/>
                <w:sz w:val="24"/>
                <w:szCs w:val="24"/>
                <w:highlight w:val="none"/>
                <w:lang w:val="en-US" w:eastAsia="zh-CN" w:bidi="ar"/>
              </w:rPr>
              <w:t>4.康养机构智慧化运营</w:t>
            </w:r>
          </w:p>
        </w:tc>
        <w:tc>
          <w:tcPr>
            <w:tcW w:w="2058" w:type="dxa"/>
            <w:vAlign w:val="center"/>
          </w:tcPr>
          <w:p>
            <w:pPr>
              <w:widowControl/>
              <w:spacing w:line="480" w:lineRule="exact"/>
              <w:jc w:val="center"/>
              <w:textAlignment w:val="center"/>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全校各专业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22" w:type="dxa"/>
            <w:vAlign w:val="center"/>
          </w:tcPr>
          <w:p>
            <w:pPr>
              <w:widowControl/>
              <w:spacing w:line="480" w:lineRule="exact"/>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8</w:t>
            </w:r>
          </w:p>
        </w:tc>
        <w:tc>
          <w:tcPr>
            <w:tcW w:w="1578" w:type="dxa"/>
            <w:vAlign w:val="center"/>
          </w:tcPr>
          <w:p>
            <w:pPr>
              <w:widowControl/>
              <w:spacing w:line="480" w:lineRule="exact"/>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CN" w:bidi="ar"/>
              </w:rPr>
              <w:t>数字文化创意与传播</w:t>
            </w:r>
          </w:p>
        </w:tc>
        <w:tc>
          <w:tcPr>
            <w:tcW w:w="1071" w:type="dxa"/>
            <w:vAlign w:val="center"/>
          </w:tcPr>
          <w:p>
            <w:pPr>
              <w:widowControl/>
              <w:spacing w:line="480" w:lineRule="exact"/>
              <w:jc w:val="center"/>
              <w:textAlignment w:val="center"/>
              <w:rPr>
                <w:rFonts w:hint="default"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12</w:t>
            </w:r>
          </w:p>
        </w:tc>
        <w:tc>
          <w:tcPr>
            <w:tcW w:w="2990" w:type="dxa"/>
            <w:vAlign w:val="center"/>
          </w:tcPr>
          <w:p>
            <w:pPr>
              <w:widowControl/>
              <w:spacing w:line="480" w:lineRule="exact"/>
              <w:jc w:val="left"/>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CN" w:bidi="ar"/>
              </w:rPr>
              <w:t>1.媒介文化学</w:t>
            </w:r>
            <w:r>
              <w:rPr>
                <w:rFonts w:hint="eastAsia" w:ascii="仿宋_GB2312" w:hAnsi="仿宋_GB2312" w:eastAsia="仿宋_GB2312" w:cs="仿宋_GB2312"/>
                <w:kern w:val="0"/>
                <w:sz w:val="24"/>
                <w:szCs w:val="24"/>
                <w:highlight w:val="none"/>
                <w:lang w:val="en-US" w:eastAsia="zh-CN" w:bidi="ar"/>
              </w:rPr>
              <w:br w:type="textWrapping"/>
            </w:r>
            <w:r>
              <w:rPr>
                <w:rFonts w:hint="eastAsia" w:ascii="仿宋_GB2312" w:hAnsi="仿宋_GB2312" w:eastAsia="仿宋_GB2312" w:cs="仿宋_GB2312"/>
                <w:kern w:val="0"/>
                <w:sz w:val="24"/>
                <w:szCs w:val="24"/>
                <w:highlight w:val="none"/>
                <w:lang w:val="en-US" w:eastAsia="zh-CN" w:bidi="ar"/>
              </w:rPr>
              <w:t>2.融媒体创意设计</w:t>
            </w:r>
            <w:r>
              <w:rPr>
                <w:rFonts w:hint="eastAsia" w:ascii="仿宋_GB2312" w:hAnsi="仿宋_GB2312" w:eastAsia="仿宋_GB2312" w:cs="仿宋_GB2312"/>
                <w:kern w:val="0"/>
                <w:sz w:val="24"/>
                <w:szCs w:val="24"/>
                <w:highlight w:val="none"/>
                <w:lang w:val="en-US" w:eastAsia="zh-CN" w:bidi="ar"/>
              </w:rPr>
              <w:br w:type="textWrapping"/>
            </w:r>
            <w:r>
              <w:rPr>
                <w:rFonts w:hint="eastAsia" w:ascii="仿宋_GB2312" w:hAnsi="仿宋_GB2312" w:eastAsia="仿宋_GB2312" w:cs="仿宋_GB2312"/>
                <w:kern w:val="0"/>
                <w:sz w:val="24"/>
                <w:szCs w:val="24"/>
                <w:highlight w:val="none"/>
                <w:lang w:val="en-US" w:eastAsia="zh-CN" w:bidi="ar"/>
              </w:rPr>
              <w:t>3.数字文化空间创意设计</w:t>
            </w:r>
            <w:r>
              <w:rPr>
                <w:rFonts w:hint="eastAsia" w:ascii="仿宋_GB2312" w:hAnsi="仿宋_GB2312" w:eastAsia="仿宋_GB2312" w:cs="仿宋_GB2312"/>
                <w:kern w:val="0"/>
                <w:sz w:val="24"/>
                <w:szCs w:val="24"/>
                <w:highlight w:val="none"/>
                <w:lang w:val="en-US" w:eastAsia="zh-CN" w:bidi="ar"/>
              </w:rPr>
              <w:br w:type="textWrapping"/>
            </w:r>
            <w:r>
              <w:rPr>
                <w:rFonts w:hint="eastAsia" w:ascii="仿宋_GB2312" w:hAnsi="仿宋_GB2312" w:eastAsia="仿宋_GB2312" w:cs="仿宋_GB2312"/>
                <w:kern w:val="0"/>
                <w:sz w:val="24"/>
                <w:szCs w:val="24"/>
                <w:highlight w:val="none"/>
                <w:lang w:val="en-US" w:eastAsia="zh-CN" w:bidi="ar"/>
              </w:rPr>
              <w:t>4.文化项目管理</w:t>
            </w:r>
          </w:p>
        </w:tc>
        <w:tc>
          <w:tcPr>
            <w:tcW w:w="2058" w:type="dxa"/>
            <w:vAlign w:val="center"/>
          </w:tcPr>
          <w:p>
            <w:pPr>
              <w:widowControl/>
              <w:spacing w:line="480" w:lineRule="exact"/>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val="en-US" w:eastAsia="zh-CN" w:bidi="ar"/>
              </w:rPr>
              <w:t>2021级、2022级全校各专业</w:t>
            </w:r>
          </w:p>
        </w:tc>
      </w:tr>
    </w:tbl>
    <w:p>
      <w:pPr>
        <w:numPr>
          <w:ilvl w:val="0"/>
          <w:numId w:val="0"/>
        </w:numPr>
        <w:spacing w:line="480" w:lineRule="exact"/>
        <w:rPr>
          <w:rFonts w:ascii="仿宋" w:hAnsi="仿宋" w:eastAsia="仿宋" w:cs="仿宋"/>
          <w:sz w:val="28"/>
          <w:szCs w:val="28"/>
        </w:rPr>
      </w:pPr>
      <w:r>
        <w:rPr>
          <w:rFonts w:hint="eastAsia" w:ascii="仿宋" w:hAnsi="仿宋" w:eastAsia="仿宋" w:cs="仿宋"/>
          <w:b/>
          <w:bCs/>
          <w:sz w:val="28"/>
          <w:szCs w:val="28"/>
          <w:lang w:val="en-US" w:eastAsia="zh-CN"/>
        </w:rPr>
        <w:t>注：</w:t>
      </w:r>
      <w:r>
        <w:rPr>
          <w:rFonts w:hint="eastAsia" w:ascii="仿宋" w:hAnsi="仿宋" w:eastAsia="仿宋" w:cs="仿宋"/>
          <w:sz w:val="28"/>
          <w:szCs w:val="28"/>
        </w:rPr>
        <w:t>1.</w:t>
      </w:r>
      <w:r>
        <w:rPr>
          <w:rFonts w:hint="eastAsia" w:ascii="仿宋" w:hAnsi="仿宋" w:eastAsia="仿宋" w:cs="仿宋"/>
          <w:sz w:val="28"/>
          <w:szCs w:val="28"/>
          <w:lang w:val="en-US" w:eastAsia="zh-CN"/>
        </w:rPr>
        <w:t>微</w:t>
      </w:r>
      <w:r>
        <w:rPr>
          <w:rFonts w:hint="eastAsia" w:ascii="仿宋" w:hAnsi="仿宋" w:eastAsia="仿宋" w:cs="仿宋"/>
          <w:sz w:val="28"/>
          <w:szCs w:val="28"/>
        </w:rPr>
        <w:t>专业课程全部为必修课，以专业课为主，适当设定实践课程学分。</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en-US" w:eastAsia="zh-CN"/>
        </w:rPr>
        <w:t>微</w:t>
      </w:r>
      <w:r>
        <w:rPr>
          <w:rFonts w:hint="eastAsia" w:ascii="仿宋" w:hAnsi="仿宋" w:eastAsia="仿宋" w:cs="仿宋"/>
          <w:sz w:val="28"/>
          <w:szCs w:val="28"/>
        </w:rPr>
        <w:t>专业授课时间原则上为</w:t>
      </w:r>
      <w:r>
        <w:rPr>
          <w:rFonts w:hint="eastAsia" w:ascii="仿宋" w:hAnsi="仿宋" w:eastAsia="仿宋" w:cs="仿宋"/>
          <w:sz w:val="28"/>
          <w:szCs w:val="28"/>
          <w:lang w:val="en-US" w:eastAsia="zh-CN"/>
        </w:rPr>
        <w:t>2</w:t>
      </w:r>
      <w:r>
        <w:rPr>
          <w:rFonts w:hint="eastAsia" w:ascii="仿宋" w:hAnsi="仿宋" w:eastAsia="仿宋" w:cs="仿宋"/>
          <w:sz w:val="28"/>
          <w:szCs w:val="28"/>
        </w:rPr>
        <w:t>个学期，学生可在主修专业未毕业前继续修读。</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3</w:t>
      </w:r>
      <w:r>
        <w:rPr>
          <w:rFonts w:ascii="仿宋" w:hAnsi="仿宋" w:eastAsia="仿宋" w:cs="仿宋"/>
          <w:sz w:val="28"/>
          <w:szCs w:val="28"/>
        </w:rPr>
        <w:t>.</w:t>
      </w:r>
      <w:r>
        <w:rPr>
          <w:rFonts w:hint="eastAsia" w:ascii="仿宋" w:hAnsi="仿宋" w:eastAsia="仿宋" w:cs="仿宋"/>
          <w:sz w:val="28"/>
          <w:szCs w:val="28"/>
          <w:lang w:val="en-US" w:eastAsia="zh-CN"/>
        </w:rPr>
        <w:t>微</w:t>
      </w:r>
      <w:r>
        <w:rPr>
          <w:rFonts w:hint="eastAsia" w:ascii="仿宋" w:hAnsi="仿宋" w:eastAsia="仿宋" w:cs="仿宋"/>
          <w:sz w:val="28"/>
          <w:szCs w:val="28"/>
        </w:rPr>
        <w:t>专业课程修读由</w:t>
      </w:r>
      <w:r>
        <w:rPr>
          <w:rFonts w:hint="eastAsia" w:ascii="仿宋" w:hAnsi="仿宋" w:eastAsia="仿宋" w:cs="仿宋"/>
          <w:sz w:val="28"/>
          <w:szCs w:val="28"/>
          <w:lang w:val="en-US" w:eastAsia="zh-CN"/>
        </w:rPr>
        <w:t>微</w:t>
      </w:r>
      <w:r>
        <w:rPr>
          <w:rFonts w:hint="eastAsia" w:ascii="仿宋" w:hAnsi="仿宋" w:eastAsia="仿宋" w:cs="仿宋"/>
          <w:sz w:val="28"/>
          <w:szCs w:val="28"/>
        </w:rPr>
        <w:t>专业所在学院负责。</w:t>
      </w:r>
    </w:p>
    <w:p>
      <w:pPr>
        <w:spacing w:line="480" w:lineRule="exact"/>
        <w:ind w:firstLine="562" w:firstLineChars="200"/>
        <w:rPr>
          <w:rFonts w:ascii="仿宋" w:hAnsi="仿宋" w:eastAsia="仿宋" w:cs="仿宋"/>
          <w:sz w:val="28"/>
          <w:szCs w:val="28"/>
        </w:rPr>
      </w:pPr>
      <w:r>
        <w:rPr>
          <w:rFonts w:hint="eastAsia" w:ascii="仿宋" w:hAnsi="仿宋" w:eastAsia="仿宋" w:cs="仿宋"/>
          <w:b/>
          <w:bCs/>
          <w:sz w:val="28"/>
          <w:szCs w:val="28"/>
        </w:rPr>
        <w:t>二、招生范围及报名</w:t>
      </w:r>
    </w:p>
    <w:p>
      <w:pPr>
        <w:spacing w:line="48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（一）招生范围</w:t>
      </w:r>
    </w:p>
    <w:p>
      <w:pPr>
        <w:spacing w:line="480" w:lineRule="exact"/>
        <w:ind w:firstLine="560" w:firstLineChars="20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除2020级之外的全校各专业学生（各微专业具体招生范围详见招生计划表）</w:t>
      </w:r>
    </w:p>
    <w:p>
      <w:pPr>
        <w:numPr>
          <w:ilvl w:val="0"/>
          <w:numId w:val="2"/>
        </w:numPr>
        <w:spacing w:line="480" w:lineRule="exact"/>
        <w:ind w:left="0" w:firstLine="562" w:firstLineChars="200"/>
        <w:rPr>
          <w:rFonts w:ascii="仿宋" w:hAnsi="仿宋" w:eastAsia="仿宋" w:cs="仿宋"/>
          <w:b/>
          <w:bCs/>
          <w:sz w:val="28"/>
          <w:szCs w:val="28"/>
        </w:rPr>
      </w:pPr>
      <w:r>
        <w:rPr>
          <w:rFonts w:hint="eastAsia" w:ascii="仿宋" w:hAnsi="仿宋" w:eastAsia="仿宋" w:cs="仿宋"/>
          <w:b/>
          <w:bCs/>
          <w:sz w:val="28"/>
          <w:szCs w:val="28"/>
        </w:rPr>
        <w:t>报名条件</w:t>
      </w:r>
    </w:p>
    <w:p>
      <w:pPr>
        <w:spacing w:line="520" w:lineRule="exact"/>
        <w:ind w:firstLine="560" w:firstLineChars="200"/>
        <w:jc w:val="both"/>
        <w:rPr>
          <w:rFonts w:ascii="仿宋" w:hAnsi="仿宋" w:eastAsia="仿宋" w:cs="仿宋"/>
          <w:sz w:val="28"/>
          <w:szCs w:val="28"/>
        </w:rPr>
      </w:pPr>
      <w:r>
        <w:rPr>
          <w:rFonts w:hint="eastAsia" w:ascii="仿宋" w:hAnsi="仿宋" w:eastAsia="仿宋" w:cs="仿宋"/>
          <w:sz w:val="28"/>
          <w:szCs w:val="28"/>
        </w:rPr>
        <w:t>1.政治思想品德合格、诚实守信、遵纪守法、身心健康、勤奋好学。</w:t>
      </w:r>
    </w:p>
    <w:p>
      <w:pPr>
        <w:spacing w:line="520" w:lineRule="exact"/>
        <w:ind w:firstLine="560" w:firstLineChars="200"/>
        <w:jc w:val="both"/>
        <w:rPr>
          <w:rFonts w:ascii="仿宋" w:hAnsi="仿宋" w:eastAsia="仿宋" w:cs="仿宋"/>
          <w:sz w:val="28"/>
          <w:szCs w:val="28"/>
        </w:rPr>
      </w:pPr>
      <w:r>
        <w:rPr>
          <w:rFonts w:hint="eastAsia" w:ascii="仿宋" w:hAnsi="仿宋" w:eastAsia="仿宋" w:cs="仿宋"/>
          <w:sz w:val="28"/>
          <w:szCs w:val="28"/>
        </w:rPr>
        <w:t>2.主修专业学有余力。</w:t>
      </w:r>
    </w:p>
    <w:p>
      <w:pPr>
        <w:spacing w:line="520" w:lineRule="exact"/>
        <w:ind w:firstLine="560" w:firstLineChars="200"/>
        <w:jc w:val="both"/>
        <w:rPr>
          <w:rFonts w:hint="eastAsia" w:ascii="仿宋" w:hAnsi="仿宋" w:eastAsia="仿宋" w:cs="仿宋"/>
          <w:sz w:val="28"/>
          <w:szCs w:val="28"/>
          <w:lang w:eastAsia="zh-CN"/>
        </w:rPr>
      </w:pPr>
      <w:r>
        <w:rPr>
          <w:rFonts w:hint="eastAsia" w:ascii="仿宋" w:hAnsi="仿宋" w:eastAsia="仿宋" w:cs="仿宋"/>
          <w:sz w:val="28"/>
          <w:szCs w:val="28"/>
        </w:rPr>
        <w:t>3.学生</w:t>
      </w:r>
      <w:r>
        <w:rPr>
          <w:rFonts w:hint="eastAsia" w:ascii="仿宋" w:hAnsi="仿宋" w:eastAsia="仿宋" w:cs="仿宋"/>
          <w:sz w:val="28"/>
          <w:szCs w:val="28"/>
          <w:lang w:val="en-US" w:eastAsia="zh-CN"/>
        </w:rPr>
        <w:t>每次</w:t>
      </w:r>
      <w:r>
        <w:rPr>
          <w:rFonts w:hint="eastAsia" w:ascii="仿宋" w:hAnsi="仿宋" w:eastAsia="仿宋" w:cs="仿宋"/>
          <w:sz w:val="28"/>
          <w:szCs w:val="28"/>
        </w:rPr>
        <w:t>只能申报</w:t>
      </w:r>
      <w:r>
        <w:rPr>
          <w:rFonts w:hint="eastAsia" w:ascii="仿宋" w:hAnsi="仿宋" w:eastAsia="仿宋" w:cs="仿宋"/>
          <w:sz w:val="28"/>
          <w:szCs w:val="28"/>
          <w:lang w:val="en-US" w:eastAsia="zh-CN"/>
        </w:rPr>
        <w:t>1</w:t>
      </w:r>
      <w:r>
        <w:rPr>
          <w:rFonts w:hint="eastAsia" w:ascii="仿宋" w:hAnsi="仿宋" w:eastAsia="仿宋" w:cs="仿宋"/>
          <w:sz w:val="28"/>
          <w:szCs w:val="28"/>
        </w:rPr>
        <w:t>个</w:t>
      </w:r>
      <w:r>
        <w:rPr>
          <w:rFonts w:hint="eastAsia" w:ascii="仿宋" w:hAnsi="仿宋" w:eastAsia="仿宋" w:cs="仿宋"/>
          <w:sz w:val="28"/>
          <w:szCs w:val="28"/>
          <w:lang w:val="en-US" w:eastAsia="zh-CN"/>
        </w:rPr>
        <w:t>微</w:t>
      </w:r>
      <w:r>
        <w:rPr>
          <w:rFonts w:hint="eastAsia" w:ascii="仿宋" w:hAnsi="仿宋" w:eastAsia="仿宋" w:cs="仿宋"/>
          <w:sz w:val="28"/>
          <w:szCs w:val="28"/>
        </w:rPr>
        <w:t>专业</w:t>
      </w:r>
      <w:r>
        <w:rPr>
          <w:rFonts w:hint="eastAsia" w:ascii="仿宋" w:hAnsi="仿宋" w:eastAsia="仿宋" w:cs="仿宋"/>
          <w:sz w:val="28"/>
          <w:szCs w:val="28"/>
          <w:lang w:eastAsia="zh-CN"/>
        </w:rPr>
        <w:t>。</w:t>
      </w:r>
    </w:p>
    <w:p>
      <w:pPr>
        <w:spacing w:line="520" w:lineRule="exact"/>
        <w:rPr>
          <w:rFonts w:ascii="仿宋" w:hAnsi="仿宋" w:eastAsia="仿宋" w:cs="仿宋"/>
          <w:sz w:val="28"/>
          <w:szCs w:val="28"/>
        </w:rPr>
      </w:pPr>
      <w:r>
        <w:rPr>
          <w:rFonts w:hint="eastAsia" w:ascii="仿宋" w:hAnsi="仿宋" w:eastAsia="仿宋" w:cs="仿宋"/>
          <w:sz w:val="28"/>
          <w:szCs w:val="28"/>
        </w:rPr>
        <w:t xml:space="preserve"> </w:t>
      </w:r>
      <w:r>
        <w:rPr>
          <w:rFonts w:ascii="仿宋" w:hAnsi="仿宋" w:eastAsia="仿宋" w:cs="仿宋"/>
          <w:sz w:val="28"/>
          <w:szCs w:val="28"/>
        </w:rPr>
        <w:t xml:space="preserve">   </w:t>
      </w:r>
      <w:r>
        <w:rPr>
          <w:rFonts w:hint="eastAsia" w:ascii="仿宋" w:hAnsi="仿宋" w:eastAsia="仿宋" w:cs="仿宋"/>
          <w:sz w:val="28"/>
          <w:szCs w:val="28"/>
        </w:rPr>
        <w:t>4.</w:t>
      </w:r>
      <w:r>
        <w:rPr>
          <w:rFonts w:hint="eastAsia" w:ascii="仿宋" w:hAnsi="仿宋" w:eastAsia="仿宋" w:cs="仿宋"/>
          <w:sz w:val="28"/>
          <w:szCs w:val="28"/>
          <w:lang w:val="en-US" w:eastAsia="zh-CN"/>
        </w:rPr>
        <w:t>符合微专业开设学院的其他要求</w:t>
      </w:r>
      <w:r>
        <w:rPr>
          <w:rFonts w:hint="eastAsia" w:ascii="仿宋" w:hAnsi="仿宋" w:eastAsia="仿宋" w:cs="仿宋"/>
          <w:sz w:val="28"/>
          <w:szCs w:val="28"/>
        </w:rPr>
        <w:t>。</w:t>
      </w:r>
    </w:p>
    <w:p>
      <w:pPr>
        <w:spacing w:line="480" w:lineRule="exact"/>
        <w:ind w:firstLine="562" w:firstLineChars="200"/>
        <w:rPr>
          <w:rFonts w:ascii="仿宋" w:hAnsi="仿宋" w:eastAsia="仿宋" w:cs="仿宋"/>
          <w:sz w:val="28"/>
          <w:szCs w:val="28"/>
        </w:rPr>
      </w:pPr>
      <w:r>
        <w:rPr>
          <w:rFonts w:hint="eastAsia" w:ascii="仿宋" w:hAnsi="仿宋" w:eastAsia="仿宋" w:cs="仿宋"/>
          <w:b/>
          <w:sz w:val="28"/>
          <w:szCs w:val="28"/>
        </w:rPr>
        <w:t>（三）报名程序</w:t>
      </w:r>
    </w:p>
    <w:p>
      <w:pPr>
        <w:spacing w:line="48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采用线下报名的方式，学生应</w:t>
      </w:r>
      <w:r>
        <w:rPr>
          <w:rFonts w:hint="eastAsia" w:ascii="仿宋" w:hAnsi="仿宋" w:eastAsia="仿宋" w:cs="仿宋"/>
          <w:sz w:val="28"/>
          <w:szCs w:val="28"/>
        </w:rPr>
        <w:t>详细阅读并填写报名表格，并</w:t>
      </w:r>
      <w:r>
        <w:rPr>
          <w:rFonts w:hint="eastAsia" w:ascii="仿宋" w:hAnsi="仿宋" w:eastAsia="仿宋" w:cs="仿宋"/>
          <w:sz w:val="28"/>
          <w:szCs w:val="28"/>
          <w:lang w:val="en-US" w:eastAsia="zh-CN"/>
        </w:rPr>
        <w:t>按要求</w:t>
      </w:r>
      <w:r>
        <w:rPr>
          <w:rFonts w:hint="eastAsia" w:ascii="仿宋" w:hAnsi="仿宋" w:eastAsia="仿宋" w:cs="仿宋"/>
          <w:sz w:val="28"/>
          <w:szCs w:val="28"/>
        </w:rPr>
        <w:t>提交至主修专业所在学院。</w:t>
      </w:r>
    </w:p>
    <w:p>
      <w:pPr>
        <w:spacing w:line="480" w:lineRule="exact"/>
        <w:ind w:firstLine="562" w:firstLineChars="200"/>
        <w:rPr>
          <w:rFonts w:ascii="仿宋" w:hAnsi="仿宋" w:eastAsia="仿宋" w:cs="仿宋"/>
          <w:sz w:val="28"/>
          <w:szCs w:val="28"/>
        </w:rPr>
      </w:pPr>
      <w:r>
        <w:rPr>
          <w:rFonts w:hint="eastAsia" w:ascii="仿宋" w:hAnsi="仿宋" w:eastAsia="仿宋" w:cs="仿宋"/>
          <w:b/>
          <w:bCs/>
          <w:sz w:val="28"/>
          <w:szCs w:val="28"/>
        </w:rPr>
        <w:t>三、资格审查与录取</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报名结束后，由主修专业所在学院进行审核后提交</w:t>
      </w:r>
      <w:r>
        <w:rPr>
          <w:rFonts w:hint="eastAsia" w:ascii="仿宋" w:hAnsi="仿宋" w:eastAsia="仿宋" w:cs="仿宋"/>
          <w:sz w:val="28"/>
          <w:szCs w:val="28"/>
          <w:lang w:val="en-US" w:eastAsia="zh-CN"/>
        </w:rPr>
        <w:t>至教务部备案</w:t>
      </w:r>
      <w:r>
        <w:rPr>
          <w:rFonts w:hint="eastAsia" w:ascii="仿宋" w:hAnsi="仿宋" w:eastAsia="仿宋" w:cs="仿宋"/>
          <w:sz w:val="28"/>
          <w:szCs w:val="28"/>
          <w:lang w:eastAsia="zh-CN"/>
        </w:rPr>
        <w:t>，</w:t>
      </w:r>
      <w:r>
        <w:rPr>
          <w:rFonts w:hint="eastAsia" w:ascii="仿宋" w:hAnsi="仿宋" w:eastAsia="仿宋" w:cs="仿宋"/>
          <w:sz w:val="28"/>
          <w:szCs w:val="28"/>
        </w:rPr>
        <w:t>录取结果将由教务部发布。</w:t>
      </w:r>
    </w:p>
    <w:p>
      <w:pPr>
        <w:spacing w:line="480" w:lineRule="exact"/>
        <w:ind w:firstLine="562" w:firstLineChars="200"/>
        <w:rPr>
          <w:rFonts w:ascii="仿宋" w:hAnsi="仿宋" w:eastAsia="仿宋" w:cs="仿宋"/>
          <w:sz w:val="28"/>
          <w:szCs w:val="28"/>
        </w:rPr>
      </w:pPr>
      <w:r>
        <w:rPr>
          <w:rFonts w:hint="eastAsia" w:ascii="仿宋" w:hAnsi="仿宋" w:eastAsia="仿宋" w:cs="仿宋"/>
          <w:b/>
          <w:bCs/>
          <w:sz w:val="28"/>
          <w:szCs w:val="28"/>
        </w:rPr>
        <w:t>四、课程修读与学位授予</w:t>
      </w:r>
    </w:p>
    <w:p>
      <w:pPr>
        <w:spacing w:line="48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（一）修读方式</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1.修读方式</w:t>
      </w:r>
      <w:r>
        <w:rPr>
          <w:rFonts w:hint="eastAsia" w:ascii="仿宋" w:hAnsi="仿宋" w:eastAsia="仿宋" w:cs="仿宋"/>
          <w:sz w:val="28"/>
          <w:szCs w:val="28"/>
          <w:lang w:val="en-US" w:eastAsia="zh-CN"/>
        </w:rPr>
        <w:t>由微专业开设学院自行确定</w:t>
      </w:r>
      <w:r>
        <w:rPr>
          <w:rFonts w:hint="eastAsia" w:ascii="仿宋" w:hAnsi="仿宋" w:eastAsia="仿宋" w:cs="仿宋"/>
          <w:sz w:val="28"/>
          <w:szCs w:val="28"/>
        </w:rPr>
        <w:t>。</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w:t>
      </w:r>
      <w:r>
        <w:rPr>
          <w:rFonts w:hint="eastAsia" w:ascii="仿宋" w:hAnsi="仿宋" w:eastAsia="仿宋" w:cs="仿宋"/>
          <w:sz w:val="28"/>
          <w:szCs w:val="28"/>
          <w:lang w:val="en-US" w:eastAsia="zh-CN"/>
        </w:rPr>
        <w:t>微</w:t>
      </w:r>
      <w:r>
        <w:rPr>
          <w:rFonts w:hint="eastAsia" w:ascii="仿宋" w:hAnsi="仿宋" w:eastAsia="仿宋" w:cs="仿宋"/>
          <w:sz w:val="28"/>
          <w:szCs w:val="28"/>
        </w:rPr>
        <w:t>专业一般情况下不予退读，如因特殊原因确需退读，按学校相关规定办理。</w:t>
      </w:r>
    </w:p>
    <w:p>
      <w:pPr>
        <w:spacing w:line="48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（二）修读年限</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微</w:t>
      </w:r>
      <w:r>
        <w:rPr>
          <w:rFonts w:hint="eastAsia" w:ascii="仿宋" w:hAnsi="仿宋" w:eastAsia="仿宋" w:cs="仿宋"/>
          <w:sz w:val="28"/>
          <w:szCs w:val="28"/>
        </w:rPr>
        <w:t>专业须在主修专业修读年限内完成。</w:t>
      </w:r>
    </w:p>
    <w:p>
      <w:pPr>
        <w:numPr>
          <w:ilvl w:val="0"/>
          <w:numId w:val="2"/>
        </w:numPr>
        <w:spacing w:line="480" w:lineRule="exact"/>
        <w:ind w:left="0" w:firstLine="562" w:firstLineChars="200"/>
        <w:rPr>
          <w:rFonts w:ascii="仿宋" w:hAnsi="仿宋" w:eastAsia="仿宋" w:cs="仿宋"/>
          <w:b/>
          <w:bCs/>
          <w:sz w:val="28"/>
          <w:szCs w:val="28"/>
        </w:rPr>
      </w:pPr>
      <w:r>
        <w:rPr>
          <w:rFonts w:hint="eastAsia" w:ascii="仿宋" w:hAnsi="仿宋" w:eastAsia="仿宋" w:cs="仿宋"/>
          <w:b/>
          <w:bCs/>
          <w:sz w:val="28"/>
          <w:szCs w:val="28"/>
          <w:lang w:val="en-US" w:eastAsia="zh-CN"/>
        </w:rPr>
        <w:t>结</w:t>
      </w:r>
      <w:r>
        <w:rPr>
          <w:rFonts w:hint="eastAsia" w:ascii="仿宋" w:hAnsi="仿宋" w:eastAsia="仿宋" w:cs="仿宋"/>
          <w:b/>
          <w:bCs/>
          <w:sz w:val="28"/>
          <w:szCs w:val="28"/>
        </w:rPr>
        <w:t>业条件</w:t>
      </w:r>
    </w:p>
    <w:p>
      <w:pPr>
        <w:pStyle w:val="2"/>
        <w:widowControl/>
        <w:shd w:val="clear" w:color="auto" w:fill="FFFFFF"/>
        <w:spacing w:beforeAutospacing="0" w:afterAutospacing="0" w:line="480" w:lineRule="exact"/>
        <w:ind w:firstLine="560" w:firstLineChars="200"/>
        <w:jc w:val="both"/>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1.修完</w:t>
      </w:r>
      <w:r>
        <w:rPr>
          <w:rFonts w:hint="eastAsia" w:ascii="仿宋" w:hAnsi="仿宋" w:eastAsia="仿宋" w:cs="仿宋"/>
          <w:sz w:val="28"/>
          <w:szCs w:val="28"/>
          <w:shd w:val="clear" w:color="auto" w:fill="FFFFFF"/>
          <w:lang w:val="en-US" w:eastAsia="zh-CN"/>
        </w:rPr>
        <w:t>微</w:t>
      </w:r>
      <w:r>
        <w:rPr>
          <w:rFonts w:hint="eastAsia" w:ascii="仿宋" w:hAnsi="仿宋" w:eastAsia="仿宋" w:cs="仿宋"/>
          <w:sz w:val="28"/>
          <w:szCs w:val="28"/>
          <w:shd w:val="clear" w:color="auto" w:fill="FFFFFF"/>
        </w:rPr>
        <w:t>专业人才培养方案规定的</w:t>
      </w:r>
      <w:r>
        <w:rPr>
          <w:rFonts w:hint="eastAsia" w:ascii="仿宋" w:hAnsi="仿宋" w:eastAsia="仿宋" w:cs="仿宋"/>
          <w:sz w:val="28"/>
          <w:szCs w:val="28"/>
          <w:shd w:val="clear" w:color="auto" w:fill="FFFFFF"/>
          <w:lang w:val="en-US" w:eastAsia="zh-CN"/>
        </w:rPr>
        <w:t>全部</w:t>
      </w:r>
      <w:r>
        <w:rPr>
          <w:rFonts w:hint="eastAsia" w:ascii="仿宋" w:hAnsi="仿宋" w:eastAsia="仿宋" w:cs="仿宋"/>
          <w:sz w:val="28"/>
          <w:szCs w:val="28"/>
          <w:shd w:val="clear" w:color="auto" w:fill="FFFFFF"/>
        </w:rPr>
        <w:t>课程，成绩合格，</w:t>
      </w:r>
      <w:r>
        <w:rPr>
          <w:rFonts w:hint="eastAsia" w:ascii="仿宋" w:hAnsi="仿宋" w:eastAsia="仿宋" w:cs="仿宋"/>
          <w:sz w:val="28"/>
          <w:szCs w:val="28"/>
          <w:shd w:val="clear" w:color="auto" w:fill="FFFFFF"/>
          <w:lang w:val="en-US" w:eastAsia="zh-CN"/>
        </w:rPr>
        <w:t>由学校</w:t>
      </w:r>
      <w:r>
        <w:rPr>
          <w:rFonts w:hint="eastAsia" w:ascii="仿宋" w:hAnsi="仿宋" w:eastAsia="仿宋" w:cs="仿宋"/>
          <w:sz w:val="28"/>
          <w:szCs w:val="28"/>
          <w:shd w:val="clear" w:color="auto" w:fill="FFFFFF"/>
        </w:rPr>
        <w:t>颁发</w:t>
      </w:r>
      <w:r>
        <w:rPr>
          <w:rFonts w:hint="eastAsia" w:ascii="仿宋" w:hAnsi="仿宋" w:eastAsia="仿宋" w:cs="仿宋"/>
          <w:sz w:val="28"/>
          <w:szCs w:val="28"/>
          <w:shd w:val="clear" w:color="auto" w:fill="FFFFFF"/>
          <w:lang w:val="en-US" w:eastAsia="zh-CN"/>
        </w:rPr>
        <w:t>微</w:t>
      </w:r>
      <w:r>
        <w:rPr>
          <w:rFonts w:hint="eastAsia" w:ascii="仿宋" w:hAnsi="仿宋" w:eastAsia="仿宋" w:cs="仿宋"/>
          <w:sz w:val="28"/>
          <w:szCs w:val="28"/>
          <w:shd w:val="clear" w:color="auto" w:fill="FFFFFF"/>
        </w:rPr>
        <w:t>专业</w:t>
      </w:r>
      <w:r>
        <w:rPr>
          <w:rFonts w:hint="eastAsia" w:ascii="仿宋" w:hAnsi="仿宋" w:eastAsia="仿宋" w:cs="仿宋"/>
          <w:sz w:val="28"/>
          <w:szCs w:val="28"/>
          <w:shd w:val="clear" w:color="auto" w:fill="FFFFFF"/>
          <w:lang w:val="en-US" w:eastAsia="zh-CN"/>
        </w:rPr>
        <w:t>结业证书</w:t>
      </w:r>
      <w:r>
        <w:rPr>
          <w:rFonts w:hint="eastAsia" w:ascii="仿宋" w:hAnsi="仿宋" w:eastAsia="仿宋" w:cs="仿宋"/>
          <w:sz w:val="28"/>
          <w:szCs w:val="28"/>
          <w:shd w:val="clear" w:color="auto" w:fill="FFFFFF"/>
        </w:rPr>
        <w:t>。</w:t>
      </w:r>
    </w:p>
    <w:p>
      <w:pPr>
        <w:spacing w:line="480" w:lineRule="exact"/>
        <w:ind w:firstLine="560" w:firstLineChars="200"/>
        <w:rPr>
          <w:rFonts w:hint="default" w:ascii="仿宋" w:hAnsi="仿宋" w:eastAsia="仿宋" w:cs="仿宋"/>
          <w:sz w:val="28"/>
          <w:szCs w:val="28"/>
          <w:shd w:val="clear" w:color="auto" w:fill="FFFFFF"/>
          <w:lang w:val="en-US" w:eastAsia="zh-CN"/>
        </w:rPr>
      </w:pPr>
      <w:r>
        <w:rPr>
          <w:rFonts w:hint="eastAsia" w:ascii="仿宋" w:hAnsi="仿宋" w:eastAsia="仿宋" w:cs="仿宋"/>
          <w:sz w:val="28"/>
          <w:szCs w:val="28"/>
          <w:shd w:val="clear" w:color="auto" w:fill="FFFFFF"/>
          <w:lang w:val="en-US" w:eastAsia="zh-CN"/>
        </w:rPr>
        <w:t>2.未修完微专业人才培养方案规定的全部课程的，凡</w:t>
      </w:r>
      <w:r>
        <w:rPr>
          <w:rFonts w:hint="eastAsia" w:ascii="仿宋" w:hAnsi="仿宋" w:eastAsia="仿宋" w:cs="仿宋"/>
          <w:sz w:val="28"/>
          <w:szCs w:val="28"/>
          <w:shd w:val="clear" w:color="auto" w:fill="FFFFFF"/>
        </w:rPr>
        <w:t>修完任何一门课程，经考试合格，可</w:t>
      </w:r>
      <w:r>
        <w:rPr>
          <w:rFonts w:hint="eastAsia" w:ascii="仿宋" w:hAnsi="仿宋" w:eastAsia="仿宋" w:cs="仿宋"/>
          <w:sz w:val="28"/>
          <w:szCs w:val="28"/>
          <w:shd w:val="clear" w:color="auto" w:fill="FFFFFF"/>
          <w:lang w:val="en-US" w:eastAsia="zh-CN"/>
        </w:rPr>
        <w:t>按照学校相关管理办法，进行课程替代或学分置换。</w:t>
      </w:r>
    </w:p>
    <w:p>
      <w:pPr>
        <w:pStyle w:val="2"/>
        <w:widowControl/>
        <w:shd w:val="clear" w:color="auto" w:fill="FFFFFF"/>
        <w:spacing w:beforeAutospacing="0" w:afterAutospacing="0" w:line="480" w:lineRule="exact"/>
        <w:ind w:firstLine="560" w:firstLineChars="200"/>
        <w:jc w:val="both"/>
        <w:rPr>
          <w:rFonts w:ascii="仿宋" w:hAnsi="仿宋" w:eastAsia="仿宋" w:cs="仿宋"/>
          <w:b/>
          <w:bCs/>
          <w:sz w:val="28"/>
          <w:szCs w:val="28"/>
        </w:rPr>
      </w:pPr>
      <w:r>
        <w:rPr>
          <w:rFonts w:hint="eastAsia" w:ascii="仿宋" w:hAnsi="仿宋" w:eastAsia="仿宋" w:cs="仿宋"/>
          <w:sz w:val="28"/>
          <w:szCs w:val="28"/>
        </w:rPr>
        <w:t>3.</w:t>
      </w:r>
      <w:r>
        <w:rPr>
          <w:rFonts w:hint="eastAsia" w:ascii="仿宋" w:hAnsi="仿宋" w:eastAsia="仿宋" w:cs="仿宋"/>
          <w:sz w:val="28"/>
          <w:szCs w:val="28"/>
          <w:shd w:val="clear" w:color="auto" w:fill="FFFFFF"/>
          <w:lang w:val="en-US" w:eastAsia="zh-CN"/>
        </w:rPr>
        <w:t>微</w:t>
      </w:r>
      <w:r>
        <w:rPr>
          <w:rFonts w:hint="eastAsia" w:ascii="仿宋" w:hAnsi="仿宋" w:eastAsia="仿宋" w:cs="仿宋"/>
          <w:sz w:val="28"/>
          <w:szCs w:val="28"/>
          <w:shd w:val="clear" w:color="auto" w:fill="FFFFFF"/>
        </w:rPr>
        <w:t>专业成绩考核不影响主修专业的毕业资格与学位资格审查。</w:t>
      </w:r>
    </w:p>
    <w:p>
      <w:pPr>
        <w:spacing w:line="48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六、收费政策</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根据《辽宁省教育厅印发关于进一步深化普通高等学校完全学分制改革的实施方案的通知》（辽教发[2020]35号）要求，</w:t>
      </w:r>
      <w:r>
        <w:rPr>
          <w:rFonts w:hint="eastAsia" w:ascii="仿宋" w:hAnsi="仿宋" w:eastAsia="仿宋" w:cs="仿宋"/>
          <w:sz w:val="28"/>
          <w:szCs w:val="28"/>
          <w:lang w:val="en-US" w:eastAsia="zh-CN"/>
        </w:rPr>
        <w:t>学</w:t>
      </w:r>
      <w:r>
        <w:rPr>
          <w:rFonts w:hint="eastAsia" w:ascii="仿宋" w:hAnsi="仿宋" w:eastAsia="仿宋" w:cs="仿宋"/>
          <w:sz w:val="28"/>
          <w:szCs w:val="28"/>
        </w:rPr>
        <w:t>校从2021级新生开始实行完全学分制，具体收费标准按照</w:t>
      </w:r>
      <w:r>
        <w:rPr>
          <w:rFonts w:hint="eastAsia" w:ascii="仿宋" w:hAnsi="仿宋" w:eastAsia="仿宋" w:cs="仿宋"/>
          <w:sz w:val="28"/>
          <w:szCs w:val="28"/>
          <w:lang w:val="en-US" w:eastAsia="zh-CN"/>
        </w:rPr>
        <w:t>学校相关规定</w:t>
      </w:r>
      <w:r>
        <w:rPr>
          <w:rFonts w:hint="eastAsia" w:ascii="仿宋" w:hAnsi="仿宋" w:eastAsia="仿宋" w:cs="仿宋"/>
          <w:sz w:val="28"/>
          <w:szCs w:val="28"/>
        </w:rPr>
        <w:t>执行</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微</w:t>
      </w:r>
      <w:r>
        <w:rPr>
          <w:rFonts w:hint="eastAsia" w:ascii="仿宋" w:hAnsi="仿宋" w:eastAsia="仿宋" w:cs="仿宋"/>
          <w:sz w:val="28"/>
          <w:szCs w:val="28"/>
        </w:rPr>
        <w:t>专业</w:t>
      </w:r>
      <w:r>
        <w:rPr>
          <w:rFonts w:hint="eastAsia" w:ascii="仿宋" w:hAnsi="仿宋" w:eastAsia="仿宋" w:cs="仿宋"/>
          <w:sz w:val="28"/>
          <w:szCs w:val="28"/>
          <w:lang w:val="en-US" w:eastAsia="zh-CN"/>
        </w:rPr>
        <w:t>仅缴纳</w:t>
      </w:r>
      <w:r>
        <w:rPr>
          <w:rFonts w:hint="eastAsia" w:ascii="仿宋" w:hAnsi="仿宋" w:eastAsia="仿宋" w:cs="仿宋"/>
          <w:sz w:val="28"/>
          <w:szCs w:val="28"/>
        </w:rPr>
        <w:t>学分学费，</w:t>
      </w:r>
      <w:r>
        <w:rPr>
          <w:rFonts w:hint="eastAsia" w:ascii="仿宋" w:hAnsi="仿宋" w:eastAsia="仿宋" w:cs="仿宋"/>
          <w:sz w:val="28"/>
          <w:szCs w:val="28"/>
          <w:lang w:val="en-US" w:eastAsia="zh-CN"/>
        </w:rPr>
        <w:t>不收取</w:t>
      </w:r>
      <w:r>
        <w:rPr>
          <w:rFonts w:hint="eastAsia" w:ascii="仿宋" w:hAnsi="仿宋" w:eastAsia="仿宋" w:cs="仿宋"/>
          <w:sz w:val="28"/>
          <w:szCs w:val="28"/>
        </w:rPr>
        <w:t>专业学费。学分学费标准为200元/学分，每学期按实际所修课程学分计收。</w:t>
      </w:r>
    </w:p>
    <w:p>
      <w:pPr>
        <w:spacing w:line="480" w:lineRule="exact"/>
        <w:ind w:firstLine="562" w:firstLineChars="200"/>
        <w:rPr>
          <w:rFonts w:ascii="仿宋" w:hAnsi="仿宋" w:eastAsia="仿宋" w:cs="仿宋"/>
          <w:b/>
          <w:bCs/>
          <w:sz w:val="28"/>
          <w:szCs w:val="28"/>
        </w:rPr>
      </w:pPr>
      <w:r>
        <w:rPr>
          <w:rFonts w:hint="eastAsia" w:ascii="仿宋" w:hAnsi="仿宋" w:eastAsia="仿宋" w:cs="仿宋"/>
          <w:b/>
          <w:bCs/>
          <w:sz w:val="28"/>
          <w:szCs w:val="28"/>
          <w:lang w:val="en-US" w:eastAsia="zh-CN"/>
        </w:rPr>
        <w:t>七</w:t>
      </w:r>
      <w:r>
        <w:rPr>
          <w:rFonts w:hint="eastAsia" w:ascii="仿宋" w:hAnsi="仿宋" w:eastAsia="仿宋" w:cs="仿宋"/>
          <w:b/>
          <w:bCs/>
          <w:sz w:val="28"/>
          <w:szCs w:val="28"/>
        </w:rPr>
        <w:t>、联系方式</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学校地址：辽宁省大连市旅顺经济开发区顺乐街33号</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邮编：116052</w:t>
      </w:r>
    </w:p>
    <w:p>
      <w:pPr>
        <w:widowControl/>
        <w:spacing w:line="48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网址：</w:t>
      </w:r>
      <w:r>
        <w:fldChar w:fldCharType="begin"/>
      </w:r>
      <w:r>
        <w:instrText xml:space="preserve"> HYPERLINK "http://www.luibe.edu.cn/" </w:instrText>
      </w:r>
      <w:r>
        <w:fldChar w:fldCharType="separate"/>
      </w:r>
      <w:r>
        <w:rPr>
          <w:rFonts w:hint="eastAsia" w:ascii="仿宋" w:hAnsi="仿宋" w:eastAsia="仿宋" w:cs="仿宋"/>
          <w:kern w:val="0"/>
          <w:sz w:val="28"/>
          <w:szCs w:val="28"/>
        </w:rPr>
        <w:t>www.luibe.edu.cn</w:t>
      </w:r>
      <w:r>
        <w:rPr>
          <w:rFonts w:hint="eastAsia" w:ascii="仿宋" w:hAnsi="仿宋" w:eastAsia="仿宋" w:cs="仿宋"/>
          <w:kern w:val="0"/>
          <w:sz w:val="28"/>
          <w:szCs w:val="28"/>
        </w:rPr>
        <w:fldChar w:fldCharType="end"/>
      </w:r>
    </w:p>
    <w:p>
      <w:pPr>
        <w:widowControl/>
        <w:spacing w:line="480" w:lineRule="exact"/>
        <w:ind w:firstLine="560" w:firstLineChars="200"/>
        <w:rPr>
          <w:rFonts w:ascii="仿宋" w:hAnsi="仿宋" w:eastAsia="仿宋" w:cs="仿宋"/>
          <w:kern w:val="0"/>
          <w:sz w:val="28"/>
          <w:szCs w:val="28"/>
        </w:rPr>
      </w:pPr>
      <w:r>
        <w:rPr>
          <w:rFonts w:hint="eastAsia" w:ascii="仿宋" w:hAnsi="仿宋" w:eastAsia="仿宋" w:cs="仿宋"/>
          <w:sz w:val="28"/>
          <w:szCs w:val="28"/>
        </w:rPr>
        <w:t>咨询电话：</w:t>
      </w:r>
      <w:bookmarkStart w:id="0" w:name="_GoBack"/>
      <w:bookmarkEnd w:id="0"/>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招生与</w:t>
      </w:r>
      <w:r>
        <w:rPr>
          <w:rFonts w:hint="eastAsia" w:ascii="仿宋" w:hAnsi="仿宋" w:eastAsia="仿宋" w:cs="仿宋"/>
          <w:sz w:val="28"/>
          <w:szCs w:val="28"/>
          <w:lang w:val="en-US" w:eastAsia="zh-CN"/>
        </w:rPr>
        <w:t>就业</w:t>
      </w:r>
      <w:r>
        <w:rPr>
          <w:rFonts w:hint="eastAsia" w:ascii="仿宋" w:hAnsi="仿宋" w:eastAsia="仿宋" w:cs="仿宋"/>
          <w:sz w:val="28"/>
          <w:szCs w:val="28"/>
        </w:rPr>
        <w:t>中心：0411-86209933、86208758</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教务部：0411-86208771、86208767、86208236</w:t>
      </w:r>
    </w:p>
    <w:p>
      <w:pPr>
        <w:numPr>
          <w:ilvl w:val="255"/>
          <w:numId w:val="0"/>
        </w:numPr>
        <w:spacing w:line="480" w:lineRule="exact"/>
        <w:ind w:firstLine="560" w:firstLineChars="200"/>
        <w:rPr>
          <w:rFonts w:ascii="仿宋" w:hAnsi="仿宋" w:eastAsia="仿宋" w:cs="仿宋"/>
          <w:sz w:val="28"/>
          <w:szCs w:val="28"/>
        </w:rPr>
      </w:pP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    </w:t>
      </w:r>
    </w:p>
    <w:p>
      <w:pPr>
        <w:spacing w:line="480" w:lineRule="exact"/>
        <w:jc w:val="center"/>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招生与</w:t>
      </w:r>
      <w:r>
        <w:rPr>
          <w:rFonts w:hint="eastAsia" w:ascii="仿宋" w:hAnsi="仿宋" w:eastAsia="仿宋" w:cs="仿宋"/>
          <w:sz w:val="28"/>
          <w:szCs w:val="28"/>
          <w:lang w:val="en-US" w:eastAsia="zh-CN"/>
        </w:rPr>
        <w:t>就业</w:t>
      </w:r>
      <w:r>
        <w:rPr>
          <w:rFonts w:hint="eastAsia" w:ascii="仿宋" w:hAnsi="仿宋" w:eastAsia="仿宋" w:cs="仿宋"/>
          <w:sz w:val="28"/>
          <w:szCs w:val="28"/>
        </w:rPr>
        <w:t>中心   教务部</w:t>
      </w:r>
    </w:p>
    <w:p>
      <w:pPr>
        <w:spacing w:line="480" w:lineRule="exact"/>
        <w:jc w:val="center"/>
        <w:rPr>
          <w:rFonts w:ascii="仿宋" w:hAnsi="仿宋" w:eastAsia="仿宋" w:cs="仿宋"/>
          <w:sz w:val="28"/>
          <w:szCs w:val="28"/>
        </w:rPr>
      </w:pPr>
      <w:r>
        <w:rPr>
          <w:rFonts w:hint="eastAsia" w:ascii="仿宋" w:hAnsi="仿宋" w:eastAsia="仿宋" w:cs="仿宋"/>
          <w:sz w:val="28"/>
          <w:szCs w:val="28"/>
        </w:rPr>
        <w:t xml:space="preserve">                                         202</w:t>
      </w:r>
      <w:r>
        <w:rPr>
          <w:rFonts w:ascii="仿宋" w:hAnsi="仿宋" w:eastAsia="仿宋" w:cs="仿宋"/>
          <w:sz w:val="28"/>
          <w:szCs w:val="28"/>
        </w:rPr>
        <w:t>3</w:t>
      </w:r>
      <w:r>
        <w:rPr>
          <w:rFonts w:hint="eastAsia" w:ascii="仿宋" w:hAnsi="仿宋" w:eastAsia="仿宋" w:cs="仿宋"/>
          <w:sz w:val="28"/>
          <w:szCs w:val="28"/>
        </w:rPr>
        <w:t>年</w:t>
      </w:r>
      <w:r>
        <w:rPr>
          <w:rFonts w:hint="eastAsia" w:ascii="仿宋" w:hAnsi="仿宋" w:eastAsia="仿宋" w:cs="仿宋"/>
          <w:sz w:val="28"/>
          <w:szCs w:val="28"/>
          <w:lang w:val="en-US" w:eastAsia="zh-CN"/>
        </w:rPr>
        <w:t>11</w:t>
      </w:r>
      <w:r>
        <w:rPr>
          <w:rFonts w:hint="eastAsia" w:ascii="仿宋" w:hAnsi="仿宋" w:eastAsia="仿宋" w:cs="仿宋"/>
          <w:sz w:val="28"/>
          <w:szCs w:val="28"/>
        </w:rPr>
        <w:t>月</w:t>
      </w:r>
      <w:r>
        <w:rPr>
          <w:rFonts w:hint="eastAsia" w:ascii="仿宋" w:hAnsi="仿宋" w:eastAsia="仿宋" w:cs="仿宋"/>
          <w:sz w:val="28"/>
          <w:szCs w:val="28"/>
          <w:lang w:val="en-US" w:eastAsia="zh-CN"/>
        </w:rPr>
        <w:t>15</w:t>
      </w:r>
      <w:r>
        <w:rPr>
          <w:rFonts w:hint="eastAsia" w:ascii="仿宋" w:hAnsi="仿宋" w:eastAsia="仿宋" w:cs="仿宋"/>
          <w:sz w:val="28"/>
          <w:szCs w:val="28"/>
        </w:rPr>
        <w:t>日</w:t>
      </w:r>
    </w:p>
    <w:p>
      <w:pPr>
        <w:spacing w:line="480" w:lineRule="exact"/>
        <w:ind w:firstLine="560" w:firstLineChars="200"/>
        <w:rPr>
          <w:rFonts w:hint="eastAsia" w:ascii="仿宋" w:hAnsi="仿宋" w:eastAsia="仿宋" w:cs="仿宋"/>
          <w:sz w:val="28"/>
          <w:szCs w:val="28"/>
        </w:rPr>
      </w:pPr>
    </w:p>
    <w:p>
      <w:pPr>
        <w:spacing w:line="480" w:lineRule="exact"/>
        <w:rPr>
          <w:rFonts w:hint="eastAsia" w:ascii="仿宋" w:hAnsi="仿宋" w:eastAsia="仿宋" w:cs="仿宋"/>
          <w:sz w:val="28"/>
          <w:szCs w:val="28"/>
        </w:rPr>
      </w:pPr>
    </w:p>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2604135</wp:posOffset>
            </wp:positionH>
            <wp:positionV relativeFrom="paragraph">
              <wp:posOffset>24765</wp:posOffset>
            </wp:positionV>
            <wp:extent cx="2733040" cy="8844280"/>
            <wp:effectExtent l="0" t="0" r="10160" b="10160"/>
            <wp:wrapNone/>
            <wp:docPr id="2" name="图片 2" descr="语言技术与翻译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语言技术与翻译管理"/>
                    <pic:cNvPicPr>
                      <a:picLocks noChangeAspect="1"/>
                    </pic:cNvPicPr>
                  </pic:nvPicPr>
                  <pic:blipFill>
                    <a:blip r:embed="rId4"/>
                    <a:stretch>
                      <a:fillRect/>
                    </a:stretch>
                  </pic:blipFill>
                  <pic:spPr>
                    <a:xfrm>
                      <a:off x="0" y="0"/>
                      <a:ext cx="2733040" cy="8844280"/>
                    </a:xfrm>
                    <a:prstGeom prst="rect">
                      <a:avLst/>
                    </a:prstGeom>
                  </pic:spPr>
                </pic:pic>
              </a:graphicData>
            </a:graphic>
          </wp:anchor>
        </w:drawing>
      </w: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-186690</wp:posOffset>
            </wp:positionH>
            <wp:positionV relativeFrom="paragraph">
              <wp:posOffset>30480</wp:posOffset>
            </wp:positionV>
            <wp:extent cx="2708275" cy="8844280"/>
            <wp:effectExtent l="0" t="0" r="4445" b="10160"/>
            <wp:wrapNone/>
            <wp:docPr id="4" name="图片 4" descr="数字贸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数字贸易"/>
                    <pic:cNvPicPr>
                      <a:picLocks noChangeAspect="1"/>
                    </pic:cNvPicPr>
                  </pic:nvPicPr>
                  <pic:blipFill>
                    <a:blip r:embed="rId5"/>
                    <a:stretch>
                      <a:fillRect/>
                    </a:stretch>
                  </pic:blipFill>
                  <pic:spPr>
                    <a:xfrm>
                      <a:off x="0" y="0"/>
                      <a:ext cx="2708275" cy="884428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-125730</wp:posOffset>
            </wp:positionH>
            <wp:positionV relativeFrom="paragraph">
              <wp:posOffset>50800</wp:posOffset>
            </wp:positionV>
            <wp:extent cx="2745105" cy="8844280"/>
            <wp:effectExtent l="0" t="0" r="13335" b="10160"/>
            <wp:wrapNone/>
            <wp:docPr id="5" name="图片 5" descr="国际商务语言服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国际商务语言服务"/>
                    <pic:cNvPicPr>
                      <a:picLocks noChangeAspect="1"/>
                    </pic:cNvPicPr>
                  </pic:nvPicPr>
                  <pic:blipFill>
                    <a:blip r:embed="rId6"/>
                    <a:stretch>
                      <a:fillRect/>
                    </a:stretch>
                  </pic:blipFill>
                  <pic:spPr>
                    <a:xfrm>
                      <a:off x="0" y="0"/>
                      <a:ext cx="2745105" cy="8844280"/>
                    </a:xfrm>
                    <a:prstGeom prst="rect">
                      <a:avLst/>
                    </a:prstGeom>
                  </pic:spPr>
                </pic:pic>
              </a:graphicData>
            </a:graphic>
          </wp:anchor>
        </w:drawing>
      </w:r>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2729865</wp:posOffset>
            </wp:positionH>
            <wp:positionV relativeFrom="paragraph">
              <wp:posOffset>57785</wp:posOffset>
            </wp:positionV>
            <wp:extent cx="2662555" cy="8844280"/>
            <wp:effectExtent l="0" t="0" r="4445" b="10160"/>
            <wp:wrapNone/>
            <wp:docPr id="7" name="图片 7" descr="财经数据挖掘与应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财经数据挖掘与应用"/>
                    <pic:cNvPicPr>
                      <a:picLocks noChangeAspect="1"/>
                    </pic:cNvPicPr>
                  </pic:nvPicPr>
                  <pic:blipFill>
                    <a:blip r:embed="rId7"/>
                    <a:stretch>
                      <a:fillRect/>
                    </a:stretch>
                  </pic:blipFill>
                  <pic:spPr>
                    <a:xfrm>
                      <a:off x="0" y="0"/>
                      <a:ext cx="2662555" cy="884428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2598420</wp:posOffset>
            </wp:positionH>
            <wp:positionV relativeFrom="paragraph">
              <wp:posOffset>24130</wp:posOffset>
            </wp:positionV>
            <wp:extent cx="2622550" cy="8844280"/>
            <wp:effectExtent l="0" t="0" r="13970" b="10160"/>
            <wp:wrapNone/>
            <wp:docPr id="3" name="图片 3" descr="数字文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数字文旅"/>
                    <pic:cNvPicPr>
                      <a:picLocks noChangeAspect="1"/>
                    </pic:cNvPicPr>
                  </pic:nvPicPr>
                  <pic:blipFill>
                    <a:blip r:embed="rId8"/>
                    <a:stretch>
                      <a:fillRect/>
                    </a:stretch>
                  </pic:blipFill>
                  <pic:spPr>
                    <a:xfrm>
                      <a:off x="0" y="0"/>
                      <a:ext cx="2622550" cy="8844280"/>
                    </a:xfrm>
                    <a:prstGeom prst="rect">
                      <a:avLst/>
                    </a:prstGeom>
                  </pic:spPr>
                </pic:pic>
              </a:graphicData>
            </a:graphic>
          </wp:anchor>
        </w:drawing>
      </w: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-97155</wp:posOffset>
            </wp:positionH>
            <wp:positionV relativeFrom="paragraph">
              <wp:posOffset>30480</wp:posOffset>
            </wp:positionV>
            <wp:extent cx="2545715" cy="8844280"/>
            <wp:effectExtent l="0" t="0" r="14605" b="10160"/>
            <wp:wrapNone/>
            <wp:docPr id="6" name="图片 6" descr="大数据管理与应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大数据管理与应用"/>
                    <pic:cNvPicPr>
                      <a:picLocks noChangeAspect="1"/>
                    </pic:cNvPicPr>
                  </pic:nvPicPr>
                  <pic:blipFill>
                    <a:blip r:embed="rId9"/>
                    <a:stretch>
                      <a:fillRect/>
                    </a:stretch>
                  </pic:blipFill>
                  <pic:spPr>
                    <a:xfrm>
                      <a:off x="0" y="0"/>
                      <a:ext cx="2545715" cy="8844280"/>
                    </a:xfrm>
                    <a:prstGeom prst="rect">
                      <a:avLst/>
                    </a:prstGeom>
                  </pic:spPr>
                </pic:pic>
              </a:graphicData>
            </a:graphic>
          </wp:anchor>
        </w:drawing>
      </w:r>
    </w:p>
    <w:p>
      <w:pPr>
        <w:rPr>
          <w:rFonts w:hint="eastAsia" w:eastAsiaTheme="minorEastAsia"/>
          <w:lang w:eastAsia="zh-CN"/>
        </w:rPr>
      </w:pPr>
      <w:r>
        <w:rPr>
          <w:rFonts w:hint="eastAsia" w:eastAsiaTheme="minorEastAsia"/>
          <w:lang w:eastAsia="zh-CN"/>
        </w:rPr>
        <w:drawing>
          <wp:anchor distT="0" distB="0" distL="114300" distR="114300" simplePos="0" relativeHeight="251666432" behindDoc="0" locked="0" layoutInCell="1" allowOverlap="1">
            <wp:simplePos x="0" y="0"/>
            <wp:positionH relativeFrom="column">
              <wp:posOffset>2639695</wp:posOffset>
            </wp:positionH>
            <wp:positionV relativeFrom="paragraph">
              <wp:posOffset>72390</wp:posOffset>
            </wp:positionV>
            <wp:extent cx="2665730" cy="8844280"/>
            <wp:effectExtent l="0" t="0" r="1270" b="10160"/>
            <wp:wrapNone/>
            <wp:docPr id="8" name="图片 8" descr="数字文化创意与传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数字文化创意与传播"/>
                    <pic:cNvPicPr>
                      <a:picLocks noChangeAspect="1"/>
                    </pic:cNvPicPr>
                  </pic:nvPicPr>
                  <pic:blipFill>
                    <a:blip r:embed="rId10"/>
                    <a:stretch>
                      <a:fillRect/>
                    </a:stretch>
                  </pic:blipFill>
                  <pic:spPr>
                    <a:xfrm>
                      <a:off x="0" y="0"/>
                      <a:ext cx="2665730" cy="8844280"/>
                    </a:xfrm>
                    <a:prstGeom prst="rect">
                      <a:avLst/>
                    </a:prstGeom>
                  </pic:spPr>
                </pic:pic>
              </a:graphicData>
            </a:graphic>
          </wp:anchor>
        </w:drawing>
      </w: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-76835</wp:posOffset>
            </wp:positionH>
            <wp:positionV relativeFrom="paragraph">
              <wp:posOffset>51435</wp:posOffset>
            </wp:positionV>
            <wp:extent cx="2573655" cy="8844280"/>
            <wp:effectExtent l="0" t="0" r="1905" b="10160"/>
            <wp:wrapNone/>
            <wp:docPr id="1" name="图片 1" descr="智慧康养服务运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智慧康养服务运营"/>
                    <pic:cNvPicPr>
                      <a:picLocks noChangeAspect="1"/>
                    </pic:cNvPicPr>
                  </pic:nvPicPr>
                  <pic:blipFill>
                    <a:blip r:embed="rId11"/>
                    <a:stretch>
                      <a:fillRect/>
                    </a:stretch>
                  </pic:blipFill>
                  <pic:spPr>
                    <a:xfrm>
                      <a:off x="0" y="0"/>
                      <a:ext cx="2573655" cy="8844280"/>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35996"/>
    <w:multiLevelType w:val="singleLevel"/>
    <w:tmpl w:val="93535996"/>
    <w:lvl w:ilvl="0" w:tentative="0">
      <w:start w:val="2"/>
      <w:numFmt w:val="chineseCounting"/>
      <w:suff w:val="nothing"/>
      <w:lvlText w:val="（%1）"/>
      <w:lvlJc w:val="left"/>
      <w:pPr>
        <w:ind w:left="100"/>
      </w:pPr>
      <w:rPr>
        <w:rFonts w:hint="eastAsia"/>
      </w:rPr>
    </w:lvl>
  </w:abstractNum>
  <w:abstractNum w:abstractNumId="1">
    <w:nsid w:val="2F09B9BA"/>
    <w:multiLevelType w:val="singleLevel"/>
    <w:tmpl w:val="2F09B9BA"/>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5M2Q3N2YxMTcwZmY4MjIzYjI5YjJiMjk4OTQ1NzcifQ=="/>
  </w:docVars>
  <w:rsids>
    <w:rsidRoot w:val="4FCD1821"/>
    <w:rsid w:val="0C63636A"/>
    <w:rsid w:val="0F4D3B95"/>
    <w:rsid w:val="104D01FC"/>
    <w:rsid w:val="107C2195"/>
    <w:rsid w:val="13E32BA9"/>
    <w:rsid w:val="15B85421"/>
    <w:rsid w:val="193E25D4"/>
    <w:rsid w:val="1A0105D9"/>
    <w:rsid w:val="22271ADC"/>
    <w:rsid w:val="28327ECE"/>
    <w:rsid w:val="2D302CC9"/>
    <w:rsid w:val="2D786D08"/>
    <w:rsid w:val="353C06AF"/>
    <w:rsid w:val="3AC24128"/>
    <w:rsid w:val="484F0D77"/>
    <w:rsid w:val="48A6478A"/>
    <w:rsid w:val="4B190EDA"/>
    <w:rsid w:val="4FCD1821"/>
    <w:rsid w:val="510A7E79"/>
    <w:rsid w:val="59945B14"/>
    <w:rsid w:val="5D9F1375"/>
    <w:rsid w:val="640F10B5"/>
    <w:rsid w:val="64C92268"/>
    <w:rsid w:val="71E91F94"/>
    <w:rsid w:val="7D9B3D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Autospacing="1" w:afterAutospacing="1"/>
      <w:jc w:val="left"/>
    </w:pPr>
    <w:rPr>
      <w:rFonts w:cs="Times New Roman"/>
      <w:kern w:val="0"/>
      <w:sz w:val="24"/>
    </w:rPr>
  </w:style>
  <w:style w:type="table" w:styleId="4">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2023-11-16T14:13:00Z</dcterms:created>
  <dc:creator>潜龙在渊</dc:creator>
  <cp:lastModifiedBy>潜龙在渊</cp:lastModifiedBy>
  <dcterms:modified xsi:type="dcterms:W3CDTF">2023-11-20T02:28:04Z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4B68E2762726402E92AB2503965A31B4_11</vt:lpwstr>
  </property>
</Properties>
</file>